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A5D" w:rsidRPr="009F1D31" w:rsidRDefault="000C505A" w:rsidP="00A0688F">
      <w:pPr>
        <w:jc w:val="center"/>
        <w:rPr>
          <w:b/>
        </w:rPr>
      </w:pPr>
      <w:r>
        <w:rPr>
          <w:b/>
        </w:rPr>
        <w:t>TÀI LIỆU ĐÍNH KÈM T</w:t>
      </w:r>
      <w:r w:rsidRPr="008D072B">
        <w:rPr>
          <w:b/>
        </w:rPr>
        <w:t>HÔNG BÁO SỐ</w:t>
      </w:r>
      <w:r w:rsidR="00806783" w:rsidRPr="008D072B">
        <w:rPr>
          <w:b/>
        </w:rPr>
        <w:t xml:space="preserve"> </w:t>
      </w:r>
      <w:r w:rsidR="008D072B" w:rsidRPr="008D072B">
        <w:rPr>
          <w:b/>
        </w:rPr>
        <w:t>4505</w:t>
      </w:r>
      <w:r w:rsidR="00806783" w:rsidRPr="008D072B">
        <w:rPr>
          <w:b/>
        </w:rPr>
        <w:t>/</w:t>
      </w:r>
      <w:r w:rsidR="00F11275" w:rsidRPr="008D072B">
        <w:rPr>
          <w:b/>
        </w:rPr>
        <w:t>TB-</w:t>
      </w:r>
      <w:r w:rsidR="00FD1A2E" w:rsidRPr="008D072B">
        <w:rPr>
          <w:b/>
        </w:rPr>
        <w:t>PVB</w:t>
      </w:r>
      <w:r w:rsidR="001C796A" w:rsidRPr="008D072B">
        <w:rPr>
          <w:b/>
        </w:rPr>
        <w:t xml:space="preserve"> </w:t>
      </w:r>
      <w:r w:rsidRPr="008D072B">
        <w:rPr>
          <w:b/>
        </w:rPr>
        <w:t>NGÀY</w:t>
      </w:r>
      <w:r w:rsidR="008D072B">
        <w:rPr>
          <w:b/>
        </w:rPr>
        <w:t xml:space="preserve"> </w:t>
      </w:r>
      <w:r w:rsidR="008D072B" w:rsidRPr="008D072B">
        <w:rPr>
          <w:b/>
        </w:rPr>
        <w:t>09</w:t>
      </w:r>
      <w:r w:rsidR="00806783" w:rsidRPr="008D072B">
        <w:rPr>
          <w:b/>
        </w:rPr>
        <w:t>/</w:t>
      </w:r>
      <w:r w:rsidR="008D072B" w:rsidRPr="008D072B">
        <w:rPr>
          <w:b/>
        </w:rPr>
        <w:t>5</w:t>
      </w:r>
      <w:r w:rsidR="00C11DD8" w:rsidRPr="008D072B">
        <w:rPr>
          <w:b/>
        </w:rPr>
        <w:t>/</w:t>
      </w:r>
      <w:r w:rsidR="00FD1A2E" w:rsidRPr="008D072B">
        <w:rPr>
          <w:b/>
        </w:rPr>
        <w:t>201</w:t>
      </w:r>
      <w:r w:rsidR="006D2086" w:rsidRPr="008D072B">
        <w:rPr>
          <w:b/>
        </w:rPr>
        <w:t>7</w:t>
      </w:r>
    </w:p>
    <w:p w:rsidR="001C796A" w:rsidRPr="00FB4AB3" w:rsidRDefault="00323120" w:rsidP="00A0688F">
      <w:pPr>
        <w:jc w:val="center"/>
        <w:rPr>
          <w:b/>
          <w:i/>
        </w:rPr>
      </w:pPr>
      <w:r w:rsidRPr="00FB4AB3">
        <w:rPr>
          <w:b/>
          <w:i/>
        </w:rPr>
        <w:t>(Phụ lục số 0</w:t>
      </w:r>
      <w:r w:rsidR="00FB4AB3" w:rsidRPr="00FB4AB3">
        <w:rPr>
          <w:b/>
          <w:i/>
        </w:rPr>
        <w:t>5</w:t>
      </w:r>
      <w:r w:rsidRPr="00FB4AB3">
        <w:rPr>
          <w:b/>
          <w:i/>
        </w:rPr>
        <w:t>)</w:t>
      </w:r>
    </w:p>
    <w:p w:rsidR="00417712" w:rsidRPr="00536FBE" w:rsidRDefault="000C505A" w:rsidP="001D6CB0">
      <w:pPr>
        <w:pStyle w:val="NormalWeb"/>
        <w:numPr>
          <w:ilvl w:val="0"/>
          <w:numId w:val="32"/>
        </w:numPr>
        <w:spacing w:before="240" w:beforeAutospacing="0" w:after="60" w:afterAutospacing="0" w:line="320" w:lineRule="exact"/>
        <w:jc w:val="both"/>
        <w:rPr>
          <w:b/>
          <w:bCs/>
          <w:sz w:val="24"/>
          <w:szCs w:val="24"/>
        </w:rPr>
      </w:pPr>
      <w:r>
        <w:rPr>
          <w:b/>
          <w:bCs/>
          <w:sz w:val="24"/>
          <w:szCs w:val="24"/>
        </w:rPr>
        <w:t xml:space="preserve">LUẬT DOANH NGHIỆP </w:t>
      </w:r>
      <w:r w:rsidR="00536FBE" w:rsidRPr="00536FBE">
        <w:rPr>
          <w:b/>
          <w:bCs/>
          <w:sz w:val="24"/>
          <w:szCs w:val="24"/>
        </w:rPr>
        <w:t>2014</w:t>
      </w:r>
      <w:r w:rsidR="00417712" w:rsidRPr="00536FBE">
        <w:rPr>
          <w:b/>
          <w:bCs/>
          <w:sz w:val="24"/>
          <w:szCs w:val="24"/>
        </w:rPr>
        <w:t xml:space="preserve"> (</w:t>
      </w:r>
      <w:r>
        <w:rPr>
          <w:b/>
          <w:bCs/>
          <w:sz w:val="24"/>
          <w:szCs w:val="24"/>
        </w:rPr>
        <w:t>TRÍCH</w:t>
      </w:r>
      <w:r w:rsidR="00417712" w:rsidRPr="00536FBE">
        <w:rPr>
          <w:b/>
          <w:bCs/>
          <w:sz w:val="24"/>
          <w:szCs w:val="24"/>
        </w:rPr>
        <w:t>)</w:t>
      </w:r>
    </w:p>
    <w:p w:rsidR="00D27AD9" w:rsidRDefault="00417712" w:rsidP="000C505A">
      <w:pPr>
        <w:pStyle w:val="NormalWeb"/>
        <w:spacing w:before="120" w:beforeAutospacing="0" w:after="120" w:afterAutospacing="0" w:line="320" w:lineRule="exact"/>
        <w:jc w:val="both"/>
        <w:rPr>
          <w:sz w:val="24"/>
          <w:szCs w:val="24"/>
        </w:rPr>
      </w:pPr>
      <w:r w:rsidRPr="00536FBE">
        <w:rPr>
          <w:b/>
          <w:bCs/>
          <w:sz w:val="24"/>
          <w:szCs w:val="24"/>
        </w:rPr>
        <w:t>Điề</w:t>
      </w:r>
      <w:r w:rsidR="00536FBE" w:rsidRPr="00536FBE">
        <w:rPr>
          <w:b/>
          <w:bCs/>
          <w:sz w:val="24"/>
          <w:szCs w:val="24"/>
        </w:rPr>
        <w:t>u 114</w:t>
      </w:r>
      <w:r w:rsidR="00D81185">
        <w:rPr>
          <w:b/>
          <w:bCs/>
          <w:sz w:val="24"/>
          <w:szCs w:val="24"/>
        </w:rPr>
        <w:t>.</w:t>
      </w:r>
      <w:r w:rsidRPr="00536FBE">
        <w:rPr>
          <w:b/>
          <w:bCs/>
          <w:sz w:val="24"/>
          <w:szCs w:val="24"/>
        </w:rPr>
        <w:t xml:space="preserve"> </w:t>
      </w:r>
      <w:r w:rsidR="00D27AD9">
        <w:rPr>
          <w:b/>
          <w:bCs/>
          <w:sz w:val="24"/>
          <w:szCs w:val="24"/>
        </w:rPr>
        <w:tab/>
      </w:r>
      <w:r w:rsidRPr="00536FBE">
        <w:rPr>
          <w:b/>
          <w:bCs/>
          <w:i/>
          <w:iCs/>
          <w:sz w:val="24"/>
          <w:szCs w:val="24"/>
        </w:rPr>
        <w:t>Quyền của cổ đông phổ thông:</w:t>
      </w:r>
      <w:r w:rsidRPr="00536FBE">
        <w:rPr>
          <w:sz w:val="24"/>
          <w:szCs w:val="24"/>
        </w:rPr>
        <w:t xml:space="preserve"> </w:t>
      </w:r>
    </w:p>
    <w:p w:rsidR="00536FBE" w:rsidRPr="00536FBE" w:rsidRDefault="00D27AD9" w:rsidP="000C505A">
      <w:pPr>
        <w:pStyle w:val="NormalWeb"/>
        <w:spacing w:before="120" w:beforeAutospacing="0" w:after="120" w:afterAutospacing="0" w:line="320" w:lineRule="exact"/>
        <w:jc w:val="both"/>
        <w:rPr>
          <w:sz w:val="24"/>
          <w:szCs w:val="24"/>
        </w:rPr>
      </w:pPr>
      <w:r>
        <w:rPr>
          <w:sz w:val="24"/>
          <w:szCs w:val="24"/>
        </w:rPr>
        <w:t xml:space="preserve">2. </w:t>
      </w:r>
      <w:r w:rsidR="00536FBE" w:rsidRPr="00536FBE">
        <w:rPr>
          <w:sz w:val="24"/>
          <w:szCs w:val="24"/>
        </w:rPr>
        <w:t>Cổ đông hoặc nhóm cổ đông sở hữu từ 10% tổng số cổ phần phổ thông trở lên trong thời hạn liên tục ít nhất 06 tháng hoặc một tỷ lệ khác nhỏ hơn quy định tại Điều lệ công ty có các quyền sau đây:</w:t>
      </w:r>
    </w:p>
    <w:p w:rsidR="00536FBE" w:rsidRPr="00536FBE" w:rsidRDefault="00536FBE" w:rsidP="000C505A">
      <w:pPr>
        <w:pStyle w:val="NormalWeb"/>
        <w:spacing w:before="120" w:beforeAutospacing="0" w:after="120" w:afterAutospacing="0" w:line="320" w:lineRule="exact"/>
        <w:rPr>
          <w:sz w:val="24"/>
          <w:szCs w:val="24"/>
        </w:rPr>
      </w:pPr>
      <w:r w:rsidRPr="00536FBE">
        <w:rPr>
          <w:sz w:val="24"/>
          <w:szCs w:val="24"/>
        </w:rPr>
        <w:t>a) Đề cử người vào Hội đồng quản trị và Ban kiểm soát;</w:t>
      </w:r>
    </w:p>
    <w:p w:rsidR="00A71634" w:rsidRPr="00536FBE" w:rsidRDefault="00A71634" w:rsidP="000C505A">
      <w:pPr>
        <w:pStyle w:val="NormalWeb"/>
        <w:spacing w:before="120" w:beforeAutospacing="0" w:after="120" w:afterAutospacing="0" w:line="320" w:lineRule="exact"/>
        <w:jc w:val="both"/>
        <w:rPr>
          <w:sz w:val="24"/>
          <w:szCs w:val="24"/>
        </w:rPr>
      </w:pPr>
      <w:r w:rsidRPr="00536FBE">
        <w:rPr>
          <w:b/>
          <w:bCs/>
          <w:sz w:val="24"/>
          <w:szCs w:val="24"/>
        </w:rPr>
        <w:t>Điều 1</w:t>
      </w:r>
      <w:r w:rsidR="00536FBE">
        <w:rPr>
          <w:b/>
          <w:bCs/>
          <w:sz w:val="24"/>
          <w:szCs w:val="24"/>
        </w:rPr>
        <w:t>4</w:t>
      </w:r>
      <w:r w:rsidRPr="00536FBE">
        <w:rPr>
          <w:b/>
          <w:bCs/>
          <w:sz w:val="24"/>
          <w:szCs w:val="24"/>
        </w:rPr>
        <w:t xml:space="preserve">4. </w:t>
      </w:r>
      <w:r w:rsidR="00D27AD9">
        <w:rPr>
          <w:b/>
          <w:bCs/>
          <w:sz w:val="24"/>
          <w:szCs w:val="24"/>
        </w:rPr>
        <w:tab/>
      </w:r>
      <w:r w:rsidR="00536FBE">
        <w:rPr>
          <w:b/>
          <w:bCs/>
          <w:i/>
          <w:iCs/>
          <w:sz w:val="24"/>
          <w:szCs w:val="24"/>
        </w:rPr>
        <w:t>Điều kiện để Nghị quyết được thông qua</w:t>
      </w:r>
      <w:r w:rsidRPr="00536FBE">
        <w:rPr>
          <w:b/>
          <w:bCs/>
          <w:i/>
          <w:iCs/>
          <w:sz w:val="24"/>
          <w:szCs w:val="24"/>
        </w:rPr>
        <w:t xml:space="preserve"> </w:t>
      </w:r>
    </w:p>
    <w:p w:rsidR="00536FBE" w:rsidRDefault="00536FBE" w:rsidP="000C505A">
      <w:pPr>
        <w:pStyle w:val="NormalWeb"/>
        <w:spacing w:before="120" w:beforeAutospacing="0" w:after="120" w:afterAutospacing="0" w:line="320" w:lineRule="exact"/>
        <w:jc w:val="both"/>
        <w:rPr>
          <w:sz w:val="24"/>
          <w:szCs w:val="24"/>
        </w:rPr>
      </w:pPr>
      <w:r w:rsidRPr="00536FBE">
        <w:rPr>
          <w:sz w:val="24"/>
          <w:szCs w:val="24"/>
        </w:rPr>
        <w:t>3. Trường hợp Điều lệ công ty không quy định khác, việc biểu quyết bầu thành viên Hội đồng quản trị và Ban kiểm soát phải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hoặc một phần tổng số phiếu bầu của mình cho một hoặc một số ứng cử viên. 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công ty. Trường hợp có từ 02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Điều lệ công ty.</w:t>
      </w:r>
    </w:p>
    <w:p w:rsidR="000C505A" w:rsidRPr="000C505A" w:rsidRDefault="000C505A" w:rsidP="000C505A">
      <w:pPr>
        <w:spacing w:before="120" w:after="120" w:line="320" w:lineRule="exact"/>
        <w:jc w:val="both"/>
        <w:textAlignment w:val="baseline"/>
        <w:rPr>
          <w:b/>
        </w:rPr>
      </w:pPr>
      <w:r w:rsidRPr="000C505A">
        <w:rPr>
          <w:b/>
        </w:rPr>
        <w:t>Điều </w:t>
      </w:r>
      <w:bookmarkStart w:id="0" w:name="Dieu_151"/>
      <w:bookmarkEnd w:id="0"/>
      <w:r w:rsidRPr="000C505A">
        <w:rPr>
          <w:b/>
        </w:rPr>
        <w:t xml:space="preserve">151. </w:t>
      </w:r>
      <w:r w:rsidR="00D81185">
        <w:rPr>
          <w:b/>
        </w:rPr>
        <w:tab/>
      </w:r>
      <w:r w:rsidRPr="000C505A">
        <w:rPr>
          <w:b/>
          <w:i/>
        </w:rPr>
        <w:t>Cơ cấu, tiêu chuẩn và điều kiện làm thành viên Hội đồng quản trị</w:t>
      </w:r>
    </w:p>
    <w:p w:rsidR="000C505A" w:rsidRPr="000C505A" w:rsidRDefault="000C505A" w:rsidP="000C505A">
      <w:pPr>
        <w:spacing w:before="120" w:after="120" w:line="320" w:lineRule="exact"/>
        <w:jc w:val="both"/>
        <w:textAlignment w:val="baseline"/>
      </w:pPr>
      <w:r w:rsidRPr="000C505A">
        <w:t>1. Thành viên Hội đồng quản trị phải có các tiêu chuẩn và điều kiện sau đây:</w:t>
      </w:r>
    </w:p>
    <w:p w:rsidR="000C505A" w:rsidRPr="000C505A" w:rsidRDefault="000C505A" w:rsidP="000C505A">
      <w:pPr>
        <w:pStyle w:val="ListParagraph"/>
        <w:numPr>
          <w:ilvl w:val="0"/>
          <w:numId w:val="33"/>
        </w:numPr>
        <w:spacing w:before="120" w:after="120" w:line="320" w:lineRule="exact"/>
        <w:contextualSpacing w:val="0"/>
        <w:jc w:val="both"/>
        <w:textAlignment w:val="baseline"/>
      </w:pPr>
      <w:r w:rsidRPr="000C505A">
        <w:t>Có năng lực hành vi dân sự đầy đủ, không thuộc đối tượng không được quản lý doanh nghiệp theo quy định tại khoản 2 Điều 18 của Luật này;</w:t>
      </w:r>
    </w:p>
    <w:p w:rsidR="000C505A" w:rsidRPr="000C505A" w:rsidRDefault="000C505A" w:rsidP="000C505A">
      <w:pPr>
        <w:pStyle w:val="ListParagraph"/>
        <w:numPr>
          <w:ilvl w:val="0"/>
          <w:numId w:val="33"/>
        </w:numPr>
        <w:spacing w:before="120" w:after="120" w:line="320" w:lineRule="exact"/>
        <w:contextualSpacing w:val="0"/>
        <w:jc w:val="both"/>
        <w:textAlignment w:val="baseline"/>
      </w:pPr>
      <w:r w:rsidRPr="000C505A">
        <w:t>Có trình độ chuyên môn, kinh nghiệm trong quản lý kinh doanh của công ty và không nhất thiết phải là cổ đông của công ty, trừ trường hợp Điều lệ công ty quy định khác.</w:t>
      </w:r>
    </w:p>
    <w:p w:rsidR="000C505A" w:rsidRPr="000C505A" w:rsidRDefault="000C505A" w:rsidP="000C505A">
      <w:pPr>
        <w:pStyle w:val="ListParagraph"/>
        <w:numPr>
          <w:ilvl w:val="0"/>
          <w:numId w:val="33"/>
        </w:numPr>
        <w:spacing w:before="120" w:after="120" w:line="320" w:lineRule="exact"/>
        <w:contextualSpacing w:val="0"/>
        <w:jc w:val="both"/>
        <w:textAlignment w:val="baseline"/>
      </w:pPr>
      <w:r w:rsidRPr="000C505A">
        <w:t>Thành viên Hội đồng quản trị công ty có thể đồng thời là thành viên Hội đồng quản trị của công ty khác.</w:t>
      </w:r>
    </w:p>
    <w:p w:rsidR="000C505A" w:rsidRPr="000C505A" w:rsidRDefault="000C505A" w:rsidP="000C505A">
      <w:pPr>
        <w:pStyle w:val="ListParagraph"/>
        <w:numPr>
          <w:ilvl w:val="0"/>
          <w:numId w:val="33"/>
        </w:numPr>
        <w:spacing w:before="120" w:after="120" w:line="320" w:lineRule="exact"/>
        <w:contextualSpacing w:val="0"/>
        <w:jc w:val="both"/>
        <w:textAlignment w:val="baseline"/>
      </w:pPr>
      <w:r w:rsidRPr="000C505A">
        <w:t>Đối với công ty con mà Nhà nước nắm giữ trên 50% vốn điều lệ thì thành viên Hội đồng quản trị không được là vợ hoặc chồng, cha đẻ, cha nuôi, mẹ đẻ, mẹ nuôi, con đẻ, con nuôi, anh ruột, chị ruột, em ruột, anh rể, em rể, chị dâu, em dâu của Giám đốc, Tổng giám đốc và người quản lý khác của công ty; không được là người có liên quan của người quản lý, người có thẩm quyền bổ nhiệm người quản lý công ty mẹ.</w:t>
      </w:r>
    </w:p>
    <w:p w:rsidR="00424915" w:rsidRDefault="000C505A" w:rsidP="000C505A">
      <w:pPr>
        <w:pStyle w:val="NormalWeb"/>
        <w:spacing w:before="120" w:beforeAutospacing="0" w:after="120" w:afterAutospacing="0" w:line="320" w:lineRule="exact"/>
        <w:jc w:val="both"/>
        <w:rPr>
          <w:b/>
          <w:sz w:val="24"/>
          <w:szCs w:val="24"/>
        </w:rPr>
      </w:pPr>
      <w:r>
        <w:rPr>
          <w:b/>
          <w:sz w:val="24"/>
          <w:szCs w:val="24"/>
        </w:rPr>
        <w:t xml:space="preserve">II. </w:t>
      </w:r>
      <w:r w:rsidR="00E15A0D">
        <w:rPr>
          <w:b/>
          <w:sz w:val="24"/>
          <w:szCs w:val="24"/>
        </w:rPr>
        <w:tab/>
      </w:r>
      <w:r>
        <w:rPr>
          <w:b/>
          <w:sz w:val="24"/>
          <w:szCs w:val="24"/>
        </w:rPr>
        <w:t>LUẬT CÁC TỔ CHỨC TÍN DỤNG 2010 (TRÍCH)</w:t>
      </w:r>
      <w:r w:rsidR="00424915">
        <w:rPr>
          <w:b/>
          <w:sz w:val="24"/>
          <w:szCs w:val="24"/>
        </w:rPr>
        <w:t>:</w:t>
      </w:r>
    </w:p>
    <w:p w:rsidR="00FF3A0F" w:rsidRPr="00FF3A0F" w:rsidRDefault="00FF3A0F" w:rsidP="000C505A">
      <w:pPr>
        <w:pStyle w:val="NormalWeb"/>
        <w:spacing w:before="120" w:beforeAutospacing="0" w:after="120" w:afterAutospacing="0" w:line="320" w:lineRule="exact"/>
        <w:jc w:val="both"/>
        <w:rPr>
          <w:b/>
          <w:sz w:val="24"/>
          <w:szCs w:val="24"/>
        </w:rPr>
      </w:pPr>
      <w:r w:rsidRPr="00FF3A0F">
        <w:rPr>
          <w:b/>
          <w:sz w:val="24"/>
          <w:szCs w:val="24"/>
        </w:rPr>
        <w:t xml:space="preserve">Điều 33. </w:t>
      </w:r>
      <w:r w:rsidR="00721873">
        <w:rPr>
          <w:b/>
          <w:sz w:val="24"/>
          <w:szCs w:val="24"/>
        </w:rPr>
        <w:tab/>
      </w:r>
      <w:r w:rsidRPr="00FF3A0F">
        <w:rPr>
          <w:b/>
          <w:i/>
          <w:sz w:val="24"/>
          <w:szCs w:val="24"/>
        </w:rPr>
        <w:t>Những trường hợp không được đảm nhiệm chức vụ</w:t>
      </w:r>
    </w:p>
    <w:p w:rsidR="00FF3A0F" w:rsidRPr="00FF3A0F" w:rsidRDefault="00FF3A0F" w:rsidP="000C505A">
      <w:pPr>
        <w:pStyle w:val="NormalWeb"/>
        <w:spacing w:before="120" w:beforeAutospacing="0" w:after="120" w:afterAutospacing="0" w:line="320" w:lineRule="exact"/>
        <w:jc w:val="both"/>
        <w:rPr>
          <w:sz w:val="24"/>
          <w:szCs w:val="24"/>
        </w:rPr>
      </w:pPr>
      <w:r w:rsidRPr="00FF3A0F">
        <w:rPr>
          <w:sz w:val="24"/>
          <w:szCs w:val="24"/>
        </w:rPr>
        <w:t>1. Những người sau đây không được là thành viên Hội đồng quản trị, thành viên Hội đồng thành viên, thành viên Ban kiểm soát, Tổng giám đốc (Giám đốc), Phó Tổng giám đốc (Phó giám đốc) và chức danh tương đương của tổ chức tín dụng:</w:t>
      </w:r>
    </w:p>
    <w:p w:rsidR="00FF3A0F" w:rsidRPr="00FF3A0F" w:rsidRDefault="00FF3A0F" w:rsidP="00721873">
      <w:pPr>
        <w:pStyle w:val="NormalWeb"/>
        <w:spacing w:before="120" w:beforeAutospacing="0" w:after="120" w:afterAutospacing="0" w:line="320" w:lineRule="exact"/>
        <w:ind w:left="720"/>
        <w:jc w:val="both"/>
        <w:rPr>
          <w:sz w:val="24"/>
          <w:szCs w:val="24"/>
        </w:rPr>
      </w:pPr>
      <w:r w:rsidRPr="00FF3A0F">
        <w:rPr>
          <w:sz w:val="24"/>
          <w:szCs w:val="24"/>
        </w:rPr>
        <w:t>a) Người thuộc đối tượng quy định tại khoản 2 Điều này;</w:t>
      </w:r>
    </w:p>
    <w:p w:rsidR="00FF3A0F" w:rsidRPr="00FF3A0F" w:rsidRDefault="00FF3A0F" w:rsidP="00721873">
      <w:pPr>
        <w:pStyle w:val="NormalWeb"/>
        <w:spacing w:before="120" w:beforeAutospacing="0" w:after="120" w:afterAutospacing="0" w:line="320" w:lineRule="exact"/>
        <w:ind w:left="720"/>
        <w:jc w:val="both"/>
        <w:rPr>
          <w:sz w:val="24"/>
          <w:szCs w:val="24"/>
        </w:rPr>
      </w:pPr>
      <w:r w:rsidRPr="00FF3A0F">
        <w:rPr>
          <w:sz w:val="24"/>
          <w:szCs w:val="24"/>
        </w:rPr>
        <w:t>b) Người thuộc đối tượng không được tham gia quản lý, điều hành theo quy định của pháp luật về cán bộ, công chức và pháp luật về phòng, chống tham nhũng;</w:t>
      </w:r>
    </w:p>
    <w:p w:rsidR="00FF3A0F" w:rsidRPr="00FF3A0F" w:rsidRDefault="00FF3A0F" w:rsidP="00721873">
      <w:pPr>
        <w:pStyle w:val="NormalWeb"/>
        <w:spacing w:before="120" w:beforeAutospacing="0" w:after="120" w:afterAutospacing="0" w:line="320" w:lineRule="exact"/>
        <w:ind w:left="720"/>
        <w:jc w:val="both"/>
        <w:rPr>
          <w:sz w:val="24"/>
          <w:szCs w:val="24"/>
        </w:rPr>
      </w:pPr>
      <w:r w:rsidRPr="00FF3A0F">
        <w:rPr>
          <w:sz w:val="24"/>
          <w:szCs w:val="24"/>
        </w:rPr>
        <w:lastRenderedPageBreak/>
        <w:t>c) Người đã từng là chủ doanh nghiệp tư nhân, thành viên hợp danh của công ty hợp danh, Tổng giám đốc (Giám đốc), thành viên Hội đồng quản trị, thành viên Hội 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vì lý do bất khả kháng;</w:t>
      </w:r>
    </w:p>
    <w:p w:rsidR="00FF3A0F" w:rsidRPr="00FF3A0F" w:rsidRDefault="00FF3A0F" w:rsidP="00721873">
      <w:pPr>
        <w:pStyle w:val="NormalWeb"/>
        <w:spacing w:before="120" w:beforeAutospacing="0" w:after="120" w:afterAutospacing="0" w:line="320" w:lineRule="exact"/>
        <w:ind w:left="720"/>
        <w:jc w:val="both"/>
        <w:rPr>
          <w:sz w:val="24"/>
          <w:szCs w:val="24"/>
        </w:rPr>
      </w:pPr>
      <w:r w:rsidRPr="00FF3A0F">
        <w:rPr>
          <w:sz w:val="24"/>
          <w:szCs w:val="24"/>
        </w:rPr>
        <w:t>d) Người đại diện theo pháp luật của doanh nghiệp tại thời điểm doanh nghiệp bị đình chỉ hoạt động, bị buộc giải thể do vi phạm pháp luật nghiêm trọng, trừ trường hợp là đại diện theo đề nghị của cơ quan nhà nước có thẩm quyền nhằm chấn chỉnh, củng cố doanh nghiệp đó;</w:t>
      </w:r>
    </w:p>
    <w:p w:rsidR="00FF3A0F" w:rsidRPr="00FF3A0F" w:rsidRDefault="00FF3A0F" w:rsidP="00721873">
      <w:pPr>
        <w:pStyle w:val="NormalWeb"/>
        <w:spacing w:before="120" w:beforeAutospacing="0" w:after="120" w:afterAutospacing="0" w:line="320" w:lineRule="exact"/>
        <w:ind w:left="720"/>
        <w:jc w:val="both"/>
        <w:rPr>
          <w:sz w:val="24"/>
          <w:szCs w:val="24"/>
        </w:rPr>
      </w:pPr>
      <w:r w:rsidRPr="00FF3A0F">
        <w:rPr>
          <w:sz w:val="24"/>
          <w:szCs w:val="24"/>
        </w:rPr>
        <w:t>đ) 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(Giám đốc) của tổ chức tín dụng theo quy định tại Điều 37 của Luật này hoặc bị cơ quan có thẩm quyền xác định người đó có vi phạm dẫn đến việc tổ chức tín dụng bị thu hồi Giấy phép;</w:t>
      </w:r>
    </w:p>
    <w:p w:rsidR="00FF3A0F" w:rsidRPr="00FF3A0F" w:rsidRDefault="00FF3A0F" w:rsidP="00721873">
      <w:pPr>
        <w:pStyle w:val="NormalWeb"/>
        <w:spacing w:before="120" w:beforeAutospacing="0" w:after="120" w:afterAutospacing="0" w:line="320" w:lineRule="exact"/>
        <w:ind w:left="720"/>
        <w:jc w:val="both"/>
        <w:rPr>
          <w:sz w:val="24"/>
          <w:szCs w:val="24"/>
        </w:rPr>
      </w:pPr>
      <w:r w:rsidRPr="00FF3A0F">
        <w:rPr>
          <w:sz w:val="24"/>
          <w:szCs w:val="24"/>
        </w:rPr>
        <w:t>e) Người có liên quan của thành viên Hội đồng quản trị, thành viên Hội đồng thành viên, Tổng giám đốc (Giám đốc) không được là thành viên Ban kiểm soát của cùng tổ chức tín dụng;</w:t>
      </w:r>
    </w:p>
    <w:p w:rsidR="00FF3A0F" w:rsidRPr="00FF3A0F" w:rsidRDefault="00FF3A0F" w:rsidP="00721873">
      <w:pPr>
        <w:pStyle w:val="NormalWeb"/>
        <w:spacing w:before="120" w:beforeAutospacing="0" w:after="120" w:afterAutospacing="0" w:line="320" w:lineRule="exact"/>
        <w:ind w:left="720"/>
        <w:jc w:val="both"/>
        <w:rPr>
          <w:sz w:val="24"/>
          <w:szCs w:val="24"/>
        </w:rPr>
      </w:pPr>
      <w:r w:rsidRPr="00FF3A0F">
        <w:rPr>
          <w:sz w:val="24"/>
          <w:szCs w:val="24"/>
        </w:rPr>
        <w:t>g) Người có liên quan của Chủ tịch Hội đồng quản trị, Chủ tịch Hội đồng thành viên không được là Tổng giám đốc (Giám đốc) của cùng tổ chức tín dụng.</w:t>
      </w:r>
    </w:p>
    <w:p w:rsidR="00FF3A0F" w:rsidRPr="00FF3A0F" w:rsidRDefault="00FF3A0F" w:rsidP="000C505A">
      <w:pPr>
        <w:pStyle w:val="NormalWeb"/>
        <w:spacing w:before="120" w:beforeAutospacing="0" w:after="120" w:afterAutospacing="0" w:line="320" w:lineRule="exact"/>
        <w:jc w:val="both"/>
        <w:rPr>
          <w:b/>
          <w:sz w:val="24"/>
          <w:szCs w:val="24"/>
        </w:rPr>
      </w:pPr>
      <w:r w:rsidRPr="00FF3A0F">
        <w:rPr>
          <w:b/>
          <w:sz w:val="24"/>
          <w:szCs w:val="24"/>
        </w:rPr>
        <w:t xml:space="preserve">Điều 34. </w:t>
      </w:r>
      <w:r w:rsidR="00721873">
        <w:rPr>
          <w:b/>
          <w:sz w:val="24"/>
          <w:szCs w:val="24"/>
        </w:rPr>
        <w:tab/>
      </w:r>
      <w:r w:rsidRPr="00FF3A0F">
        <w:rPr>
          <w:b/>
          <w:i/>
          <w:sz w:val="24"/>
          <w:szCs w:val="24"/>
        </w:rPr>
        <w:t>Những trường hợp không cùng đảm nhiệm chức vụ</w:t>
      </w:r>
    </w:p>
    <w:p w:rsidR="00FF3A0F" w:rsidRPr="00FF3A0F" w:rsidRDefault="00FF3A0F" w:rsidP="000C505A">
      <w:pPr>
        <w:pStyle w:val="NormalWeb"/>
        <w:spacing w:before="120" w:beforeAutospacing="0" w:after="120" w:afterAutospacing="0" w:line="320" w:lineRule="exact"/>
        <w:jc w:val="both"/>
        <w:rPr>
          <w:sz w:val="24"/>
          <w:szCs w:val="24"/>
        </w:rPr>
      </w:pPr>
      <w:r w:rsidRPr="00FF3A0F">
        <w:rPr>
          <w:sz w:val="24"/>
          <w:szCs w:val="24"/>
        </w:rPr>
        <w:t>1. Chủ tịch Hội đồng quản trị, Chủ tịch Hội đồng thành viên của tổ chức tín dụng không được đồng thời là người điều hành của tổ chức tín dụng đó và của tổ chức tín dụng khác, trừ trường hợp Chủ tịch Hội đồng quản trị của quỹ tín dụng nhân dân đồng thời là thành viên Hội đồng quản trị của ngân hàng hợp tác xã. Thành viên Hội đồng quản trị, thành viên Hội đồng thành viên của tổ chức tín dụng không được đồng thời là người quản lý của tổ chức tín dụng khác, trừ trường hợp tổ chức này là công ty con của tổ chức tín dụng đó hoặc là thành viên Ban kiểm soát của tổ chức tín dụng đó.</w:t>
      </w:r>
    </w:p>
    <w:p w:rsidR="00424915" w:rsidRPr="00424915" w:rsidRDefault="00424915" w:rsidP="000C505A">
      <w:pPr>
        <w:pStyle w:val="NormalWeb"/>
        <w:spacing w:before="120" w:beforeAutospacing="0" w:after="120" w:afterAutospacing="0" w:line="320" w:lineRule="exact"/>
        <w:jc w:val="both"/>
        <w:rPr>
          <w:b/>
          <w:sz w:val="24"/>
          <w:szCs w:val="24"/>
        </w:rPr>
      </w:pPr>
      <w:r w:rsidRPr="00424915">
        <w:rPr>
          <w:b/>
          <w:sz w:val="24"/>
          <w:szCs w:val="24"/>
        </w:rPr>
        <w:t xml:space="preserve">Điều 50. </w:t>
      </w:r>
      <w:r w:rsidRPr="00424915">
        <w:rPr>
          <w:b/>
          <w:i/>
          <w:sz w:val="24"/>
          <w:szCs w:val="24"/>
        </w:rPr>
        <w:t>Tiêu chuẩn, điều kiện đối với người quản lý, người điều hành và một số chức danh khác của tổ chức tín dụng</w:t>
      </w:r>
    </w:p>
    <w:p w:rsidR="00424915" w:rsidRPr="00424915" w:rsidRDefault="00424915" w:rsidP="000C505A">
      <w:pPr>
        <w:pStyle w:val="NormalWeb"/>
        <w:spacing w:before="120" w:beforeAutospacing="0" w:after="120" w:afterAutospacing="0" w:line="320" w:lineRule="exact"/>
        <w:jc w:val="both"/>
        <w:rPr>
          <w:sz w:val="24"/>
          <w:szCs w:val="24"/>
        </w:rPr>
      </w:pPr>
      <w:r w:rsidRPr="00424915">
        <w:rPr>
          <w:sz w:val="24"/>
          <w:szCs w:val="24"/>
        </w:rPr>
        <w:t>1. Thành viên Hội đồng quản trị, thành viên Hội đồng thành viên phải có đủ các tiêu chuẩn, điều kiện sau đây:</w:t>
      </w:r>
    </w:p>
    <w:p w:rsidR="00424915" w:rsidRPr="00424915" w:rsidRDefault="00424915" w:rsidP="002343C3">
      <w:pPr>
        <w:pStyle w:val="NormalWeb"/>
        <w:spacing w:before="120" w:beforeAutospacing="0" w:after="120" w:afterAutospacing="0" w:line="320" w:lineRule="exact"/>
        <w:ind w:left="720"/>
        <w:jc w:val="both"/>
        <w:rPr>
          <w:sz w:val="24"/>
          <w:szCs w:val="24"/>
        </w:rPr>
      </w:pPr>
      <w:r w:rsidRPr="00424915">
        <w:rPr>
          <w:sz w:val="24"/>
          <w:szCs w:val="24"/>
        </w:rPr>
        <w:t>a) Không thuộc đối tượng quy định tại khoản 1 Điều 33 của Luật này;</w:t>
      </w:r>
    </w:p>
    <w:p w:rsidR="00424915" w:rsidRPr="00424915" w:rsidRDefault="00424915" w:rsidP="002343C3">
      <w:pPr>
        <w:pStyle w:val="NormalWeb"/>
        <w:spacing w:before="120" w:beforeAutospacing="0" w:after="120" w:afterAutospacing="0" w:line="320" w:lineRule="exact"/>
        <w:ind w:left="720"/>
        <w:jc w:val="both"/>
        <w:rPr>
          <w:sz w:val="24"/>
          <w:szCs w:val="24"/>
        </w:rPr>
      </w:pPr>
      <w:r w:rsidRPr="00424915">
        <w:rPr>
          <w:sz w:val="24"/>
          <w:szCs w:val="24"/>
        </w:rPr>
        <w:t>b) Có đạo đức nghề nghiệp;</w:t>
      </w:r>
    </w:p>
    <w:p w:rsidR="00424915" w:rsidRPr="00424915" w:rsidRDefault="00424915" w:rsidP="002343C3">
      <w:pPr>
        <w:pStyle w:val="NormalWeb"/>
        <w:spacing w:before="120" w:beforeAutospacing="0" w:after="120" w:afterAutospacing="0" w:line="320" w:lineRule="exact"/>
        <w:ind w:left="720"/>
        <w:jc w:val="both"/>
        <w:rPr>
          <w:sz w:val="24"/>
          <w:szCs w:val="24"/>
        </w:rPr>
      </w:pPr>
      <w:r w:rsidRPr="00424915">
        <w:rPr>
          <w:sz w:val="24"/>
          <w:szCs w:val="24"/>
        </w:rPr>
        <w:t>c) Là cá nhân sở hữu hoặc người được ủy quyền đại diện sở hữu ít nhất 5% vốn điều lệ của tổ chức tín dụng, trừ trường hợp là thành viên Hội đồng thành viên, thành viên độc lập của Hội đồng quản trị hoặc có bằng đại học trở lên về một trong các ngành kinh tế, quản trị kinh doanh, luật hoặc có ít nhất 03 năm là người quản lý của tổ chức tín dụng hoặc doanh nghiệp hoạt động trong ngành bảo hiểm, chứng khoán, kế toán, kiểm toán hoặc có ít nhất 05 năm làm việc trực tiếp tại các bộ phận nghiệp vụ trong lĩnh vực ngân hàng, tài chính, kiểm toán hoặc kế toán.</w:t>
      </w:r>
    </w:p>
    <w:p w:rsidR="00424915" w:rsidRDefault="000C505A" w:rsidP="000C505A">
      <w:pPr>
        <w:pStyle w:val="NormalWeb"/>
        <w:spacing w:before="120" w:beforeAutospacing="0" w:after="120" w:afterAutospacing="0" w:line="320" w:lineRule="exact"/>
        <w:jc w:val="both"/>
        <w:rPr>
          <w:b/>
          <w:sz w:val="24"/>
          <w:szCs w:val="24"/>
        </w:rPr>
      </w:pPr>
      <w:r>
        <w:rPr>
          <w:b/>
          <w:sz w:val="24"/>
          <w:szCs w:val="24"/>
        </w:rPr>
        <w:t xml:space="preserve">III. </w:t>
      </w:r>
      <w:r w:rsidR="00E15A0D">
        <w:rPr>
          <w:b/>
          <w:sz w:val="24"/>
          <w:szCs w:val="24"/>
        </w:rPr>
        <w:tab/>
      </w:r>
      <w:r>
        <w:rPr>
          <w:b/>
          <w:sz w:val="24"/>
          <w:szCs w:val="24"/>
        </w:rPr>
        <w:t>ĐIỀU LỆ TỔ CHỨC VÀ HOẠT ĐỘNG PVCOMBANK 2013 (TRÍCH)</w:t>
      </w:r>
      <w:r w:rsidR="007A624B">
        <w:rPr>
          <w:b/>
          <w:sz w:val="24"/>
          <w:szCs w:val="24"/>
        </w:rPr>
        <w:t>:</w:t>
      </w:r>
    </w:p>
    <w:p w:rsidR="000C505A" w:rsidRPr="002163CA" w:rsidRDefault="000C505A" w:rsidP="000C505A">
      <w:pPr>
        <w:pStyle w:val="Heading3"/>
        <w:keepNext w:val="0"/>
        <w:keepLines w:val="0"/>
        <w:widowControl w:val="0"/>
        <w:tabs>
          <w:tab w:val="left" w:pos="1440"/>
        </w:tabs>
        <w:spacing w:before="120" w:after="120" w:line="320" w:lineRule="exact"/>
        <w:jc w:val="both"/>
        <w:rPr>
          <w:rFonts w:ascii="Times New Roman" w:hAnsi="Times New Roman"/>
          <w:color w:val="000000"/>
          <w:lang w:val="pt-BR"/>
        </w:rPr>
      </w:pPr>
      <w:bookmarkStart w:id="1" w:name="_Toc354664658"/>
      <w:bookmarkStart w:id="2" w:name="_Toc354665350"/>
      <w:bookmarkStart w:id="3" w:name="_Toc367452737"/>
      <w:r w:rsidRPr="001F7B1C">
        <w:rPr>
          <w:rFonts w:ascii="Times New Roman" w:hAnsi="Times New Roman"/>
          <w:color w:val="000000"/>
          <w:lang w:val="pt-BR"/>
        </w:rPr>
        <w:t xml:space="preserve">Điều </w:t>
      </w:r>
      <w:r w:rsidRPr="007E22C8">
        <w:rPr>
          <w:rFonts w:ascii="Times New Roman" w:hAnsi="Times New Roman"/>
          <w:color w:val="000000"/>
          <w:lang w:val="pt-BR"/>
        </w:rPr>
        <w:t>24</w:t>
      </w:r>
      <w:r w:rsidRPr="002B5FEE">
        <w:rPr>
          <w:rFonts w:ascii="Times New Roman" w:hAnsi="Times New Roman"/>
          <w:color w:val="000000"/>
          <w:lang w:val="pt-BR"/>
        </w:rPr>
        <w:t>.</w:t>
      </w:r>
      <w:r w:rsidRPr="002B5FEE">
        <w:rPr>
          <w:rFonts w:ascii="Times New Roman" w:hAnsi="Times New Roman"/>
          <w:color w:val="000000"/>
          <w:lang w:val="pt-BR"/>
        </w:rPr>
        <w:tab/>
      </w:r>
      <w:r w:rsidRPr="00FE024B">
        <w:rPr>
          <w:rFonts w:ascii="Times New Roman" w:hAnsi="Times New Roman"/>
          <w:i/>
          <w:color w:val="000000"/>
          <w:lang w:val="pt-BR"/>
        </w:rPr>
        <w:t>Quyền hạn của Cổ đông</w:t>
      </w:r>
      <w:bookmarkEnd w:id="1"/>
      <w:bookmarkEnd w:id="2"/>
      <w:r w:rsidRPr="00FE024B">
        <w:rPr>
          <w:rFonts w:ascii="Times New Roman" w:hAnsi="Times New Roman"/>
          <w:i/>
          <w:color w:val="000000"/>
          <w:lang w:val="pt-BR"/>
        </w:rPr>
        <w:t xml:space="preserve"> phổ thông</w:t>
      </w:r>
      <w:bookmarkEnd w:id="3"/>
      <w:r w:rsidRPr="002B5FEE">
        <w:rPr>
          <w:rFonts w:ascii="Times New Roman" w:hAnsi="Times New Roman"/>
          <w:color w:val="000000"/>
          <w:lang w:val="pt-BR"/>
        </w:rPr>
        <w:t xml:space="preserve"> </w:t>
      </w:r>
    </w:p>
    <w:p w:rsidR="000C505A" w:rsidRPr="00326B74" w:rsidRDefault="00326B74" w:rsidP="00326B74">
      <w:pPr>
        <w:widowControl w:val="0"/>
        <w:tabs>
          <w:tab w:val="left" w:pos="1440"/>
        </w:tabs>
        <w:spacing w:before="120" w:after="120" w:line="320" w:lineRule="exact"/>
        <w:jc w:val="both"/>
        <w:rPr>
          <w:rFonts w:eastAsia="Times New Roman"/>
          <w:lang w:val="pt-BR"/>
        </w:rPr>
      </w:pPr>
      <w:r>
        <w:rPr>
          <w:rFonts w:eastAsia="Times New Roman"/>
          <w:lang w:val="pt-BR"/>
        </w:rPr>
        <w:lastRenderedPageBreak/>
        <w:t xml:space="preserve">2. </w:t>
      </w:r>
      <w:r w:rsidR="000C505A" w:rsidRPr="00326B74">
        <w:rPr>
          <w:rFonts w:eastAsia="Times New Roman"/>
          <w:lang w:val="pt-BR"/>
        </w:rPr>
        <w:t xml:space="preserve">Cổ đông hoặc nhóm Cổ đông sở hữu từ 10% tổng số Cổ phần của Ngân hàng trong thời gian liên tục ít nhất 6 (sáu) tháng có thêm các quyền sau: </w:t>
      </w:r>
    </w:p>
    <w:p w:rsidR="000C505A" w:rsidRPr="000C505A" w:rsidRDefault="000C505A" w:rsidP="00326B74">
      <w:pPr>
        <w:pStyle w:val="ListParagraph"/>
        <w:widowControl w:val="0"/>
        <w:numPr>
          <w:ilvl w:val="1"/>
          <w:numId w:val="17"/>
        </w:numPr>
        <w:tabs>
          <w:tab w:val="left" w:pos="709"/>
        </w:tabs>
        <w:spacing w:before="120" w:after="120" w:line="320" w:lineRule="exact"/>
        <w:ind w:left="1134" w:hanging="425"/>
        <w:contextualSpacing w:val="0"/>
        <w:jc w:val="both"/>
        <w:rPr>
          <w:rFonts w:eastAsia="Times New Roman"/>
          <w:b/>
          <w:i/>
          <w:lang w:val="pt-BR"/>
        </w:rPr>
      </w:pPr>
      <w:r w:rsidRPr="000C505A">
        <w:rPr>
          <w:rFonts w:eastAsia="Times New Roman"/>
          <w:lang w:val="pt-BR"/>
        </w:rPr>
        <w:t>Được quyền ứng cử, đề cử người vào Hội đồng quản trị hoặc Ban Kiểm soát theo quy định tại Điều lệ này, phù hợp quy định pháp luật;</w:t>
      </w:r>
      <w:r w:rsidRPr="000C505A" w:rsidDel="001A72AC">
        <w:rPr>
          <w:rFonts w:eastAsia="Times New Roman"/>
          <w:lang w:val="pt-BR"/>
        </w:rPr>
        <w:t xml:space="preserve"> </w:t>
      </w:r>
    </w:p>
    <w:p w:rsidR="000C505A" w:rsidRPr="00FE024B" w:rsidRDefault="000C505A" w:rsidP="000C505A">
      <w:pPr>
        <w:pStyle w:val="Heading3"/>
        <w:keepNext w:val="0"/>
        <w:keepLines w:val="0"/>
        <w:widowControl w:val="0"/>
        <w:tabs>
          <w:tab w:val="left" w:pos="1440"/>
        </w:tabs>
        <w:spacing w:before="120" w:after="120" w:line="320" w:lineRule="exact"/>
        <w:jc w:val="both"/>
        <w:rPr>
          <w:rFonts w:ascii="Times New Roman" w:hAnsi="Times New Roman"/>
          <w:i/>
          <w:color w:val="000000"/>
          <w:lang w:val="pt-BR"/>
        </w:rPr>
      </w:pPr>
      <w:bookmarkStart w:id="4" w:name="_Toc354664673"/>
      <w:bookmarkStart w:id="5" w:name="_Toc354665365"/>
      <w:bookmarkStart w:id="6" w:name="_Toc367452752"/>
      <w:bookmarkStart w:id="7" w:name="_Toc354664676"/>
      <w:bookmarkStart w:id="8" w:name="_Toc354665368"/>
      <w:bookmarkStart w:id="9" w:name="_Toc367452755"/>
      <w:r w:rsidRPr="00D75F0D">
        <w:rPr>
          <w:rFonts w:ascii="Times New Roman" w:hAnsi="Times New Roman"/>
          <w:color w:val="000000"/>
          <w:lang w:val="pt-BR"/>
        </w:rPr>
        <w:t>Điều 38.</w:t>
      </w:r>
      <w:r w:rsidRPr="00D75F0D">
        <w:rPr>
          <w:rFonts w:ascii="Times New Roman" w:hAnsi="Times New Roman"/>
          <w:color w:val="000000"/>
          <w:lang w:val="pt-BR"/>
        </w:rPr>
        <w:tab/>
      </w:r>
      <w:r w:rsidRPr="00FE024B">
        <w:rPr>
          <w:rFonts w:ascii="Times New Roman" w:hAnsi="Times New Roman"/>
          <w:i/>
          <w:color w:val="000000"/>
          <w:lang w:val="pt-BR"/>
        </w:rPr>
        <w:t xml:space="preserve">Những </w:t>
      </w:r>
      <w:bookmarkEnd w:id="4"/>
      <w:bookmarkEnd w:id="5"/>
      <w:r w:rsidRPr="00FE024B">
        <w:rPr>
          <w:rFonts w:ascii="Times New Roman" w:hAnsi="Times New Roman"/>
          <w:i/>
          <w:color w:val="000000"/>
          <w:lang w:val="pt-BR"/>
        </w:rPr>
        <w:t>trường hợp không được đảm nhiệm chức vụ</w:t>
      </w:r>
      <w:bookmarkEnd w:id="6"/>
    </w:p>
    <w:p w:rsidR="000C505A" w:rsidRPr="00326B74" w:rsidRDefault="000C505A" w:rsidP="00326B74">
      <w:pPr>
        <w:pStyle w:val="ListParagraph"/>
        <w:widowControl w:val="0"/>
        <w:numPr>
          <w:ilvl w:val="0"/>
          <w:numId w:val="26"/>
        </w:numPr>
        <w:tabs>
          <w:tab w:val="left" w:pos="1440"/>
        </w:tabs>
        <w:spacing w:before="120" w:after="120" w:line="320" w:lineRule="exact"/>
        <w:jc w:val="both"/>
        <w:rPr>
          <w:rFonts w:eastAsia="Times New Roman"/>
          <w:lang w:val="pt-BR"/>
        </w:rPr>
      </w:pPr>
      <w:r w:rsidRPr="00326B74">
        <w:rPr>
          <w:rFonts w:eastAsia="Times New Roman"/>
          <w:lang w:val="pt-BR"/>
        </w:rPr>
        <w:t xml:space="preserve">Những người sau đây không được là thành viên Hội đồng quản trị, thành viên Ban Kiểm soát, Tổng Giám đốc, Phó Tổng Giám đốc và chức danh tương đương của Ngân hàng: </w:t>
      </w:r>
    </w:p>
    <w:p w:rsidR="000C505A" w:rsidRPr="00D75F0D" w:rsidRDefault="000C505A" w:rsidP="0000347D">
      <w:pPr>
        <w:widowControl w:val="0"/>
        <w:numPr>
          <w:ilvl w:val="1"/>
          <w:numId w:val="26"/>
        </w:numPr>
        <w:tabs>
          <w:tab w:val="left" w:pos="1134"/>
        </w:tabs>
        <w:spacing w:before="120" w:after="120" w:line="320" w:lineRule="exact"/>
        <w:ind w:left="0" w:firstLine="720"/>
        <w:jc w:val="both"/>
        <w:rPr>
          <w:rFonts w:eastAsia="Times New Roman"/>
          <w:lang w:val="pt-BR"/>
        </w:rPr>
      </w:pPr>
      <w:r w:rsidRPr="00D75F0D">
        <w:rPr>
          <w:rFonts w:eastAsia="Times New Roman"/>
          <w:lang w:val="pt-BR"/>
        </w:rPr>
        <w:t>Người thuộc đối tượng quy định tại khoản 2 Điều này;</w:t>
      </w:r>
    </w:p>
    <w:p w:rsidR="000C505A" w:rsidRPr="00D75F0D" w:rsidRDefault="000C505A" w:rsidP="0000347D">
      <w:pPr>
        <w:widowControl w:val="0"/>
        <w:numPr>
          <w:ilvl w:val="1"/>
          <w:numId w:val="26"/>
        </w:numPr>
        <w:tabs>
          <w:tab w:val="left" w:pos="1134"/>
        </w:tabs>
        <w:spacing w:before="120" w:after="120" w:line="320" w:lineRule="exact"/>
        <w:ind w:left="0" w:firstLine="720"/>
        <w:jc w:val="both"/>
        <w:rPr>
          <w:rFonts w:eastAsia="Times New Roman"/>
          <w:lang w:val="pt-BR"/>
        </w:rPr>
      </w:pPr>
      <w:r w:rsidRPr="00D75F0D">
        <w:rPr>
          <w:rFonts w:eastAsia="Times New Roman"/>
          <w:lang w:val="pt-BR"/>
        </w:rPr>
        <w:t>Người thuộc đối tượng không được tham gia quản lý, điều hành theo quy định của pháp luật về cán bộ, công chức và pháp luật về phòng, chống tham nhũng;</w:t>
      </w:r>
    </w:p>
    <w:p w:rsidR="000C505A" w:rsidRPr="00D75F0D" w:rsidRDefault="000C505A" w:rsidP="0000347D">
      <w:pPr>
        <w:widowControl w:val="0"/>
        <w:numPr>
          <w:ilvl w:val="1"/>
          <w:numId w:val="26"/>
        </w:numPr>
        <w:tabs>
          <w:tab w:val="left" w:pos="1134"/>
        </w:tabs>
        <w:spacing w:before="120" w:after="120" w:line="320" w:lineRule="exact"/>
        <w:ind w:left="0" w:firstLine="720"/>
        <w:jc w:val="both"/>
        <w:rPr>
          <w:rFonts w:eastAsia="Times New Roman"/>
          <w:lang w:val="pt-BR"/>
        </w:rPr>
      </w:pPr>
      <w:r w:rsidRPr="00D75F0D">
        <w:rPr>
          <w:rFonts w:eastAsia="Times New Roman"/>
          <w:lang w:val="pt-BR"/>
        </w:rPr>
        <w:t>Người đã từng là chủ doanh nghiệp tư nhân, thành viên hợp danh của công ty hợp danh, Giám đốc (Tổng Giám đốc), thành viên Hội đồng quản trị, thành viên Hội đồng thành viên, thành viên Ban Kiểm soát của doanh nghiệp, Chủ nhiệm và các thành viên Ban quản trị hợp tác xã tại thời điểm doanh nghiệp, hợp tác xã bị tuyên bố phá sản, trừ trường hợp doanh nghiệp, hợp tác xã bị tuyên bố phá sản vì lý do bất khả kháng;</w:t>
      </w:r>
    </w:p>
    <w:p w:rsidR="000C505A" w:rsidRPr="00D75F0D" w:rsidRDefault="000C505A" w:rsidP="0000347D">
      <w:pPr>
        <w:widowControl w:val="0"/>
        <w:numPr>
          <w:ilvl w:val="1"/>
          <w:numId w:val="26"/>
        </w:numPr>
        <w:tabs>
          <w:tab w:val="left" w:pos="1134"/>
        </w:tabs>
        <w:spacing w:before="120" w:after="120" w:line="320" w:lineRule="exact"/>
        <w:ind w:left="0" w:firstLine="720"/>
        <w:jc w:val="both"/>
        <w:rPr>
          <w:rFonts w:eastAsia="Times New Roman"/>
          <w:lang w:val="pt-BR"/>
        </w:rPr>
      </w:pPr>
      <w:r w:rsidRPr="00D75F0D">
        <w:rPr>
          <w:rFonts w:eastAsia="Times New Roman"/>
          <w:lang w:val="pt-BR"/>
        </w:rPr>
        <w:t>Người đại diện theo pháp luật của doanh nghiệp tại thời điểm doanh nghiệp bị đình chỉ hoạt động, bị buộc giải thể do vi phạm pháp luật nghiêm trọng, trừ trường hợp là đại diện theo đề nghị của cơ quan nhà nước có thẩm quyền nhằm chấn chỉnh, củng cố doanh nghiệp đó;</w:t>
      </w:r>
    </w:p>
    <w:p w:rsidR="000C505A" w:rsidRPr="00D75F0D" w:rsidRDefault="000C505A" w:rsidP="0000347D">
      <w:pPr>
        <w:widowControl w:val="0"/>
        <w:numPr>
          <w:ilvl w:val="1"/>
          <w:numId w:val="26"/>
        </w:numPr>
        <w:tabs>
          <w:tab w:val="left" w:pos="1134"/>
        </w:tabs>
        <w:spacing w:before="120" w:after="120" w:line="320" w:lineRule="exact"/>
        <w:ind w:left="0" w:firstLine="720"/>
        <w:jc w:val="both"/>
        <w:rPr>
          <w:rFonts w:eastAsia="Times New Roman"/>
          <w:lang w:val="pt-BR"/>
        </w:rPr>
      </w:pPr>
      <w:r w:rsidRPr="00D75F0D">
        <w:rPr>
          <w:rFonts w:eastAsia="Times New Roman"/>
          <w:lang w:val="pt-BR"/>
        </w:rPr>
        <w:t>Người đã từng bị đình chỉ chức danh Chủ tịch Hội đồng quản trị, thành viên Hội đồng quản trị, Chủ tịch Hội đồng thành viên, thành viên Hội đồng thành viên, Trưởng Ban Kiểm soát, thành viên Ban Kiểm soát, Tổng Giám đốc (Giám đốc) của tổ chức tín dụng theo quy định pháp luật hoặc bị cơ quan quản lý nhà nước, cơ quan pháp luật xác định người đó có sai phạm dẫn đến việc tổ chức tín dụng bị thu hồi Giấy phép thành lập và hoạt động;</w:t>
      </w:r>
    </w:p>
    <w:p w:rsidR="000C505A" w:rsidRPr="00D75F0D" w:rsidRDefault="000C505A" w:rsidP="0000347D">
      <w:pPr>
        <w:widowControl w:val="0"/>
        <w:numPr>
          <w:ilvl w:val="1"/>
          <w:numId w:val="26"/>
        </w:numPr>
        <w:tabs>
          <w:tab w:val="left" w:pos="1134"/>
        </w:tabs>
        <w:spacing w:before="120" w:after="120" w:line="320" w:lineRule="exact"/>
        <w:ind w:left="0" w:firstLine="720"/>
        <w:jc w:val="both"/>
        <w:rPr>
          <w:rFonts w:eastAsia="Times New Roman"/>
          <w:lang w:val="pt-BR"/>
        </w:rPr>
      </w:pPr>
      <w:r w:rsidRPr="00D75F0D">
        <w:rPr>
          <w:rFonts w:eastAsia="Times New Roman"/>
          <w:lang w:val="pt-BR"/>
        </w:rPr>
        <w:t>Không đảm bảo tiêu chuẩn về đạo đức nghề nghiệp, năng lực điều hành và trình độ chuyên môn theo quy định của Ngân hàng và/hoặc NHNN;</w:t>
      </w:r>
    </w:p>
    <w:p w:rsidR="000C505A" w:rsidRPr="00D75F0D" w:rsidRDefault="000C505A" w:rsidP="0000347D">
      <w:pPr>
        <w:widowControl w:val="0"/>
        <w:numPr>
          <w:ilvl w:val="1"/>
          <w:numId w:val="26"/>
        </w:numPr>
        <w:tabs>
          <w:tab w:val="left" w:pos="1134"/>
        </w:tabs>
        <w:spacing w:before="120" w:after="120" w:line="320" w:lineRule="exact"/>
        <w:ind w:left="0" w:firstLine="720"/>
        <w:jc w:val="both"/>
        <w:rPr>
          <w:rFonts w:eastAsia="Times New Roman"/>
          <w:lang w:val="pt-BR"/>
        </w:rPr>
      </w:pPr>
      <w:r w:rsidRPr="00D75F0D">
        <w:rPr>
          <w:rFonts w:eastAsia="Times New Roman"/>
          <w:lang w:val="pt-BR"/>
        </w:rPr>
        <w:t>Người có liên quan của thành viên Hội đồng quản trị, Tổng Giám đốc không được là thành viên Ban Kiểm soát của Ngân hàng;</w:t>
      </w:r>
    </w:p>
    <w:p w:rsidR="000C505A" w:rsidRPr="00D75F0D" w:rsidRDefault="000C505A" w:rsidP="0000347D">
      <w:pPr>
        <w:widowControl w:val="0"/>
        <w:numPr>
          <w:ilvl w:val="1"/>
          <w:numId w:val="26"/>
        </w:numPr>
        <w:tabs>
          <w:tab w:val="left" w:pos="1134"/>
        </w:tabs>
        <w:spacing w:before="120" w:after="120" w:line="320" w:lineRule="exact"/>
        <w:ind w:left="0" w:firstLine="720"/>
        <w:jc w:val="both"/>
        <w:rPr>
          <w:rFonts w:eastAsia="Times New Roman"/>
          <w:lang w:val="pt-BR"/>
        </w:rPr>
      </w:pPr>
      <w:r w:rsidRPr="00D75F0D">
        <w:rPr>
          <w:rFonts w:eastAsia="Times New Roman"/>
          <w:lang w:val="pt-BR"/>
        </w:rPr>
        <w:t>Người có liên quan của Chủ tịch Hội đồng quản trị không được là Tổng Giám đốc của Ngân hàng;</w:t>
      </w:r>
    </w:p>
    <w:p w:rsidR="000C505A" w:rsidRPr="00D75F0D" w:rsidRDefault="000C505A" w:rsidP="0000347D">
      <w:pPr>
        <w:widowControl w:val="0"/>
        <w:numPr>
          <w:ilvl w:val="1"/>
          <w:numId w:val="26"/>
        </w:numPr>
        <w:tabs>
          <w:tab w:val="left" w:pos="1134"/>
        </w:tabs>
        <w:spacing w:before="120" w:after="120" w:line="320" w:lineRule="exact"/>
        <w:ind w:left="0" w:firstLine="720"/>
        <w:jc w:val="both"/>
        <w:rPr>
          <w:rFonts w:eastAsia="Times New Roman"/>
          <w:lang w:val="pt-BR"/>
        </w:rPr>
      </w:pPr>
      <w:r w:rsidRPr="00D75F0D">
        <w:rPr>
          <w:rFonts w:eastAsia="Times New Roman"/>
          <w:lang w:val="pt-BR"/>
        </w:rPr>
        <w:t>Các trường hợp khác theo quy định của pháp luật.</w:t>
      </w:r>
    </w:p>
    <w:p w:rsidR="000C505A" w:rsidRPr="00FE024B" w:rsidRDefault="000C505A" w:rsidP="000C505A">
      <w:pPr>
        <w:pStyle w:val="Heading3"/>
        <w:keepNext w:val="0"/>
        <w:keepLines w:val="0"/>
        <w:widowControl w:val="0"/>
        <w:tabs>
          <w:tab w:val="left" w:pos="1440"/>
        </w:tabs>
        <w:spacing w:before="120" w:after="120" w:line="320" w:lineRule="exact"/>
        <w:jc w:val="both"/>
        <w:rPr>
          <w:rFonts w:ascii="Times New Roman" w:hAnsi="Times New Roman"/>
          <w:i/>
          <w:color w:val="000000"/>
          <w:lang w:val="pt-BR"/>
        </w:rPr>
      </w:pPr>
      <w:r w:rsidRPr="00D75F0D">
        <w:rPr>
          <w:rFonts w:ascii="Times New Roman" w:hAnsi="Times New Roman"/>
          <w:color w:val="000000"/>
          <w:lang w:val="pt-BR"/>
        </w:rPr>
        <w:t>Điều 41.</w:t>
      </w:r>
      <w:r w:rsidRPr="00D75F0D">
        <w:rPr>
          <w:rFonts w:ascii="Times New Roman" w:hAnsi="Times New Roman"/>
          <w:color w:val="000000"/>
          <w:lang w:val="pt-BR"/>
        </w:rPr>
        <w:tab/>
      </w:r>
      <w:r w:rsidRPr="00FE024B">
        <w:rPr>
          <w:rFonts w:ascii="Times New Roman" w:hAnsi="Times New Roman"/>
          <w:i/>
          <w:color w:val="000000"/>
          <w:lang w:val="pt-BR"/>
        </w:rPr>
        <w:t>Bầu, bổ nhiệm thành viên Hội đồng quản trị</w:t>
      </w:r>
      <w:bookmarkEnd w:id="7"/>
      <w:bookmarkEnd w:id="8"/>
      <w:bookmarkEnd w:id="9"/>
    </w:p>
    <w:p w:rsidR="000C505A" w:rsidRDefault="000C505A" w:rsidP="000C505A">
      <w:pPr>
        <w:pStyle w:val="ListParagraph"/>
        <w:widowControl w:val="0"/>
        <w:numPr>
          <w:ilvl w:val="0"/>
          <w:numId w:val="19"/>
        </w:numPr>
        <w:tabs>
          <w:tab w:val="left" w:pos="1440"/>
        </w:tabs>
        <w:spacing w:before="120" w:after="120" w:line="320" w:lineRule="exact"/>
        <w:contextualSpacing w:val="0"/>
        <w:jc w:val="both"/>
        <w:rPr>
          <w:rFonts w:eastAsia="Times New Roman"/>
          <w:color w:val="000000"/>
          <w:lang w:val="de-DE" w:eastAsia="en-US"/>
        </w:rPr>
      </w:pPr>
      <w:r w:rsidRPr="000C505A">
        <w:rPr>
          <w:rFonts w:eastAsia="Times New Roman"/>
          <w:color w:val="000000"/>
          <w:lang w:val="de-DE" w:eastAsia="en-US"/>
        </w:rPr>
        <w:t xml:space="preserve">Đại hội đồng cổ đông bầu, miễn nhiệm, bãi nhiệm thành viên Hội đồng quản trị theo phương thức bầu dồn phiếu phù hợp quy định của pháp luật, theo đó mỗi Cổ đông có tổng số phiếu biểu quyết tương ứng với tổng số Cổ phần sở hữu nhân với số thành viên được bầu của Hội đồng quản trị và Cổ đông có quyền dồn hết tổng số phiếu bầu của mình cho 01 hoặc một số ứng cử viên. Hội đồng quản trị bầu, miễn nhiệm, bãi nhiệm Chủ tịch Hội đồng quản trị.  </w:t>
      </w:r>
    </w:p>
    <w:p w:rsidR="000C505A" w:rsidRDefault="000C505A" w:rsidP="000C505A">
      <w:pPr>
        <w:pStyle w:val="1"/>
        <w:widowControl w:val="0"/>
        <w:numPr>
          <w:ilvl w:val="0"/>
          <w:numId w:val="22"/>
        </w:numPr>
        <w:tabs>
          <w:tab w:val="left" w:pos="1440"/>
        </w:tabs>
        <w:spacing w:line="320" w:lineRule="exact"/>
        <w:rPr>
          <w:sz w:val="24"/>
          <w:szCs w:val="24"/>
          <w:lang w:val="de-DE"/>
        </w:rPr>
      </w:pPr>
      <w:r w:rsidRPr="00D75F0D">
        <w:rPr>
          <w:sz w:val="24"/>
          <w:szCs w:val="24"/>
          <w:lang w:val="de-DE"/>
        </w:rPr>
        <w:t xml:space="preserve">Các Cổ đông nắm giữ Cổ phần có quyền biểu quyết trong thời hạn liên tục ít nhất 06 (sáu) tháng có quyền gộp số quyền biểu quyết của từng người lại với nhau để đề cử các ứng viên Hội đồng quản trị phù hợp quy định tại Điều lệ này và quy định của pháp luật. </w:t>
      </w:r>
    </w:p>
    <w:p w:rsidR="000C505A" w:rsidRPr="000C505A" w:rsidRDefault="000C505A" w:rsidP="000C505A">
      <w:pPr>
        <w:pStyle w:val="1"/>
        <w:widowControl w:val="0"/>
        <w:numPr>
          <w:ilvl w:val="0"/>
          <w:numId w:val="22"/>
        </w:numPr>
        <w:tabs>
          <w:tab w:val="left" w:pos="1440"/>
        </w:tabs>
        <w:spacing w:line="320" w:lineRule="exact"/>
        <w:rPr>
          <w:sz w:val="24"/>
          <w:szCs w:val="24"/>
          <w:lang w:val="de-DE"/>
        </w:rPr>
      </w:pPr>
      <w:r w:rsidRPr="000C505A">
        <w:rPr>
          <w:sz w:val="24"/>
          <w:szCs w:val="24"/>
          <w:lang w:val="de-DE"/>
        </w:rPr>
        <w:t>Số lượng ứng cử viên mà mỗi nhóm Cổ đông có quyền đề cử phụ thuộc vào số lượng ứng cử viên do Đại hội quyết định và tỷ lệ sở hữu Cổ phần của mỗi nhóm như sau:</w:t>
      </w:r>
    </w:p>
    <w:p w:rsidR="000C505A" w:rsidRPr="00D75F0D" w:rsidRDefault="000C505A" w:rsidP="006D03C7">
      <w:pPr>
        <w:widowControl w:val="0"/>
        <w:numPr>
          <w:ilvl w:val="1"/>
          <w:numId w:val="20"/>
        </w:numPr>
        <w:tabs>
          <w:tab w:val="left" w:pos="1134"/>
        </w:tabs>
        <w:spacing w:before="120" w:after="120" w:line="320" w:lineRule="exact"/>
        <w:ind w:left="1134" w:hanging="425"/>
        <w:jc w:val="both"/>
        <w:rPr>
          <w:lang w:val="de-DE"/>
        </w:rPr>
      </w:pPr>
      <w:r w:rsidRPr="00D75F0D">
        <w:rPr>
          <w:lang w:val="de-DE"/>
        </w:rPr>
        <w:t xml:space="preserve">Cổ đông, nhóm Cổ đông sở hữu từ 10% đến dưới 20% tổng số Cổ phần có quyền biểu quyết được đề cử tối đa 01 (một) ứng cử viên; </w:t>
      </w:r>
    </w:p>
    <w:p w:rsidR="006D03C7" w:rsidRDefault="000C505A" w:rsidP="006D03C7">
      <w:pPr>
        <w:widowControl w:val="0"/>
        <w:numPr>
          <w:ilvl w:val="1"/>
          <w:numId w:val="20"/>
        </w:numPr>
        <w:tabs>
          <w:tab w:val="left" w:pos="1134"/>
        </w:tabs>
        <w:spacing w:before="120" w:after="120" w:line="320" w:lineRule="exact"/>
        <w:ind w:left="1134" w:hanging="425"/>
        <w:jc w:val="both"/>
        <w:rPr>
          <w:lang w:val="de-DE"/>
        </w:rPr>
      </w:pPr>
      <w:r w:rsidRPr="00D75F0D">
        <w:rPr>
          <w:lang w:val="de-DE"/>
        </w:rPr>
        <w:t xml:space="preserve">Cổ đông, nhóm Cổ đông sở hữu từ 20% đến dưới 30% tổng số Cổ phần có quyền biểu quyết được đề cử tối đa 02 (hai) ứng cử viên; </w:t>
      </w:r>
    </w:p>
    <w:p w:rsidR="006D03C7" w:rsidRDefault="000C505A" w:rsidP="006D03C7">
      <w:pPr>
        <w:widowControl w:val="0"/>
        <w:numPr>
          <w:ilvl w:val="1"/>
          <w:numId w:val="20"/>
        </w:numPr>
        <w:tabs>
          <w:tab w:val="left" w:pos="1134"/>
        </w:tabs>
        <w:spacing w:before="120" w:after="120" w:line="320" w:lineRule="exact"/>
        <w:ind w:left="1134" w:hanging="425"/>
        <w:jc w:val="both"/>
        <w:rPr>
          <w:lang w:val="de-DE"/>
        </w:rPr>
      </w:pPr>
      <w:r w:rsidRPr="006D03C7">
        <w:rPr>
          <w:lang w:val="de-DE"/>
        </w:rPr>
        <w:t xml:space="preserve">Cổ đông, nhóm Cổ đông sở hữu từ 30% đến dưới 40% tổng số Cổ phần có quyền biểu quyết được đề cử tối đa 03 (ba) ứng cử viên; </w:t>
      </w:r>
    </w:p>
    <w:p w:rsidR="006D03C7" w:rsidRDefault="000C505A" w:rsidP="006D03C7">
      <w:pPr>
        <w:widowControl w:val="0"/>
        <w:numPr>
          <w:ilvl w:val="1"/>
          <w:numId w:val="20"/>
        </w:numPr>
        <w:tabs>
          <w:tab w:val="left" w:pos="1134"/>
        </w:tabs>
        <w:spacing w:before="120" w:after="120" w:line="320" w:lineRule="exact"/>
        <w:ind w:left="1134" w:hanging="425"/>
        <w:jc w:val="both"/>
        <w:rPr>
          <w:lang w:val="de-DE"/>
        </w:rPr>
      </w:pPr>
      <w:r w:rsidRPr="006D03C7">
        <w:rPr>
          <w:lang w:val="de-DE"/>
        </w:rPr>
        <w:t xml:space="preserve">Cổ đông, nhóm Cổ đông sở hữu từ 40% đến dưới 50% tổng số Cổ phần có quyền biểu quyết được đề cử tối đa 04 (bốn) ứng cử viên; </w:t>
      </w:r>
    </w:p>
    <w:p w:rsidR="006D03C7" w:rsidRDefault="000C505A" w:rsidP="006D03C7">
      <w:pPr>
        <w:widowControl w:val="0"/>
        <w:numPr>
          <w:ilvl w:val="1"/>
          <w:numId w:val="20"/>
        </w:numPr>
        <w:tabs>
          <w:tab w:val="left" w:pos="1134"/>
        </w:tabs>
        <w:spacing w:before="120" w:after="120" w:line="320" w:lineRule="exact"/>
        <w:ind w:left="1134" w:hanging="425"/>
        <w:jc w:val="both"/>
        <w:rPr>
          <w:lang w:val="de-DE"/>
        </w:rPr>
      </w:pPr>
      <w:r w:rsidRPr="006D03C7">
        <w:rPr>
          <w:lang w:val="de-DE"/>
        </w:rPr>
        <w:t xml:space="preserve">Cổ đông, nhóm Cổ đông sở hữu từ 50% đến dưới 60% tổng số Cổ phần có quyền biểu quyết được đề cử tối đa 05 (năm) ứng cử viên; </w:t>
      </w:r>
    </w:p>
    <w:p w:rsidR="006D03C7" w:rsidRDefault="000C505A" w:rsidP="006D03C7">
      <w:pPr>
        <w:widowControl w:val="0"/>
        <w:numPr>
          <w:ilvl w:val="1"/>
          <w:numId w:val="20"/>
        </w:numPr>
        <w:tabs>
          <w:tab w:val="left" w:pos="1134"/>
        </w:tabs>
        <w:spacing w:before="120" w:after="120" w:line="320" w:lineRule="exact"/>
        <w:ind w:left="1134" w:hanging="425"/>
        <w:jc w:val="both"/>
        <w:rPr>
          <w:lang w:val="de-DE"/>
        </w:rPr>
      </w:pPr>
      <w:r w:rsidRPr="006D03C7">
        <w:rPr>
          <w:lang w:val="de-DE"/>
        </w:rPr>
        <w:t xml:space="preserve">Cổ đông, nhóm Cổ đông sở hữu từ 60% đến dưới 70% tổng số Cổ phần có quyền biểu quyết được đề cử tối đa 06 (sáu) ứng cử viên; </w:t>
      </w:r>
    </w:p>
    <w:p w:rsidR="006D03C7" w:rsidRDefault="000C505A" w:rsidP="006D03C7">
      <w:pPr>
        <w:widowControl w:val="0"/>
        <w:numPr>
          <w:ilvl w:val="1"/>
          <w:numId w:val="20"/>
        </w:numPr>
        <w:tabs>
          <w:tab w:val="left" w:pos="1134"/>
        </w:tabs>
        <w:spacing w:before="120" w:after="120" w:line="320" w:lineRule="exact"/>
        <w:ind w:left="1134" w:hanging="425"/>
        <w:jc w:val="both"/>
        <w:rPr>
          <w:lang w:val="de-DE"/>
        </w:rPr>
      </w:pPr>
      <w:r w:rsidRPr="006D03C7">
        <w:rPr>
          <w:lang w:val="de-DE"/>
        </w:rPr>
        <w:t xml:space="preserve">Cổ đông, nhóm Cổ đông sở hữu từ 70% đến dưới 80% tổng số Cổ phần có quyền biểu quyết được đề cử tối đa 07 (bảy) ứng cử viên; </w:t>
      </w:r>
    </w:p>
    <w:p w:rsidR="000C505A" w:rsidRPr="006D03C7" w:rsidRDefault="000C505A" w:rsidP="006D03C7">
      <w:pPr>
        <w:widowControl w:val="0"/>
        <w:numPr>
          <w:ilvl w:val="1"/>
          <w:numId w:val="20"/>
        </w:numPr>
        <w:tabs>
          <w:tab w:val="left" w:pos="1134"/>
        </w:tabs>
        <w:spacing w:before="120" w:after="120" w:line="320" w:lineRule="exact"/>
        <w:ind w:left="1134" w:hanging="425"/>
        <w:jc w:val="both"/>
        <w:rPr>
          <w:lang w:val="de-DE"/>
        </w:rPr>
      </w:pPr>
      <w:r w:rsidRPr="006D03C7">
        <w:rPr>
          <w:lang w:val="de-DE"/>
        </w:rPr>
        <w:t xml:space="preserve">Cổ đông, nhóm Cổ đông sở hữu từ 80% đến dưới 90% tổng số cổ phần có quyền biểu quyết được đề cử tối đa 08 (tám) ứng cử viên. </w:t>
      </w:r>
    </w:p>
    <w:p w:rsidR="000C505A" w:rsidRPr="000C505A" w:rsidRDefault="000C505A" w:rsidP="000C505A">
      <w:pPr>
        <w:pStyle w:val="1"/>
        <w:widowControl w:val="0"/>
        <w:numPr>
          <w:ilvl w:val="0"/>
          <w:numId w:val="22"/>
        </w:numPr>
        <w:tabs>
          <w:tab w:val="left" w:pos="1440"/>
        </w:tabs>
        <w:spacing w:line="320" w:lineRule="exact"/>
        <w:rPr>
          <w:sz w:val="24"/>
          <w:szCs w:val="24"/>
          <w:lang w:val="de-DE"/>
        </w:rPr>
      </w:pPr>
      <w:r w:rsidRPr="00D75F0D">
        <w:rPr>
          <w:sz w:val="24"/>
          <w:szCs w:val="24"/>
          <w:lang w:val="de-DE"/>
        </w:rPr>
        <w:t>Người trúng cử thành viên Hội đồng quản trị được xác định theo số phiếu bầu tính từ cao xuống thấp, bắt đầu từ ứng cử viên có số phiếu bầu cao nhất cho đến khi đủ số thành viên. Trường hợp có từ 02 (hai) ứng cử viên trở lên đạt số phiếu bầu như nhau cho thành viên cuối cùng của Hội đồng quản trị thì sẽ tiến hành bầu lại trong số các ứng cử viên có số phiếu bầu ngang nhau hoặc lựa chọn theo tiêu chí Quy chế bầu cử</w:t>
      </w:r>
      <w:r>
        <w:rPr>
          <w:sz w:val="24"/>
          <w:szCs w:val="24"/>
          <w:lang w:val="de-DE"/>
        </w:rPr>
        <w:t>.</w:t>
      </w:r>
    </w:p>
    <w:p w:rsidR="00323120" w:rsidRPr="00536FBE" w:rsidRDefault="000C505A" w:rsidP="00247FDB">
      <w:pPr>
        <w:spacing w:before="240" w:after="120" w:line="320" w:lineRule="exact"/>
        <w:jc w:val="both"/>
        <w:rPr>
          <w:b/>
          <w:lang w:val="vi-VN"/>
        </w:rPr>
      </w:pPr>
      <w:r w:rsidRPr="00793AB5">
        <w:rPr>
          <w:b/>
          <w:lang w:val="de-DE"/>
        </w:rPr>
        <w:t xml:space="preserve">V. </w:t>
      </w:r>
      <w:r w:rsidR="00E15A0D">
        <w:rPr>
          <w:b/>
          <w:lang w:val="de-DE"/>
        </w:rPr>
        <w:tab/>
      </w:r>
      <w:bookmarkStart w:id="10" w:name="_GoBack"/>
      <w:bookmarkEnd w:id="10"/>
      <w:r w:rsidRPr="00793AB5">
        <w:rPr>
          <w:b/>
          <w:lang w:val="de-DE"/>
        </w:rPr>
        <w:t>HƯỚNG DẪN CỦA PVCOMBANK VỀ PHƯƠNG THỨC BẦU DỒN PHIẾU:</w:t>
      </w:r>
    </w:p>
    <w:p w:rsidR="00B3573F" w:rsidRPr="00536FBE" w:rsidRDefault="00B3573F" w:rsidP="000C505A">
      <w:pPr>
        <w:spacing w:before="120" w:after="120" w:line="320" w:lineRule="exact"/>
        <w:jc w:val="both"/>
        <w:rPr>
          <w:lang w:val="vi-VN"/>
        </w:rPr>
      </w:pPr>
      <w:r w:rsidRPr="00536FBE">
        <w:rPr>
          <w:lang w:val="vi-VN"/>
        </w:rPr>
        <w:t xml:space="preserve">Mỗi </w:t>
      </w:r>
      <w:r w:rsidR="00C43DDC" w:rsidRPr="00536FBE">
        <w:rPr>
          <w:lang w:val="vi-VN"/>
        </w:rPr>
        <w:t>c</w:t>
      </w:r>
      <w:r w:rsidRPr="00536FBE">
        <w:rPr>
          <w:lang w:val="vi-VN"/>
        </w:rPr>
        <w:t>ổ đông có tổng số phiếu bầu bằng số cổ phần sở hữu nhân với số thành viên HĐQT</w:t>
      </w:r>
      <w:r w:rsidR="00D04EBF">
        <w:t xml:space="preserve"> </w:t>
      </w:r>
      <w:r w:rsidRPr="00536FBE">
        <w:rPr>
          <w:lang w:val="vi-VN"/>
        </w:rPr>
        <w:t>được bầu. Cổ đông có quyền dồn hết tổng số phiếu bầu của mình cho một ứng viên hoặc phân chia phiếu bầu cho một số hoặc toàn bộ ứng viên.</w:t>
      </w:r>
    </w:p>
    <w:p w:rsidR="00C43DDC" w:rsidRPr="00536FBE" w:rsidRDefault="00C43DDC" w:rsidP="000C505A">
      <w:pPr>
        <w:spacing w:before="120" w:after="120" w:line="320" w:lineRule="exact"/>
        <w:jc w:val="both"/>
        <w:rPr>
          <w:b/>
          <w:i/>
        </w:rPr>
      </w:pPr>
      <w:r w:rsidRPr="00536FBE">
        <w:rPr>
          <w:b/>
          <w:i/>
        </w:rPr>
        <w:t>Ví dụ:</w:t>
      </w:r>
    </w:p>
    <w:p w:rsidR="00C43DDC" w:rsidRPr="00536FBE" w:rsidRDefault="00C43DDC" w:rsidP="000C505A">
      <w:pPr>
        <w:numPr>
          <w:ilvl w:val="0"/>
          <w:numId w:val="12"/>
        </w:numPr>
        <w:tabs>
          <w:tab w:val="left" w:leader="dot" w:pos="2835"/>
        </w:tabs>
        <w:spacing w:before="120" w:after="120" w:line="320" w:lineRule="exact"/>
        <w:jc w:val="both"/>
      </w:pPr>
      <w:r w:rsidRPr="00536FBE">
        <w:t xml:space="preserve">Một </w:t>
      </w:r>
      <w:r w:rsidRPr="00536FBE">
        <w:rPr>
          <w:lang w:val="vi-VN"/>
        </w:rPr>
        <w:t>c</w:t>
      </w:r>
      <w:r w:rsidRPr="00536FBE">
        <w:t>ổ đông sở hữu 10.000 cổ phần, thì sẽ được nhận lá phiếu 10.000 cổ phần.</w:t>
      </w:r>
    </w:p>
    <w:p w:rsidR="00C43DDC" w:rsidRPr="00536FBE" w:rsidRDefault="00C43DDC" w:rsidP="000C505A">
      <w:pPr>
        <w:numPr>
          <w:ilvl w:val="0"/>
          <w:numId w:val="12"/>
        </w:numPr>
        <w:tabs>
          <w:tab w:val="left" w:leader="dot" w:pos="2835"/>
        </w:tabs>
        <w:spacing w:before="120" w:after="120" w:line="320" w:lineRule="exact"/>
        <w:jc w:val="both"/>
      </w:pPr>
      <w:r w:rsidRPr="00536FBE">
        <w:t xml:space="preserve">Nếu số thành viên </w:t>
      </w:r>
      <w:r w:rsidRPr="00536FBE">
        <w:rPr>
          <w:lang w:val="vi-VN"/>
        </w:rPr>
        <w:t>HĐQT</w:t>
      </w:r>
      <w:r w:rsidR="00D04EBF">
        <w:t xml:space="preserve"> </w:t>
      </w:r>
      <w:r w:rsidRPr="00536FBE">
        <w:t>được bầu là 2 người thì tổng số phiếu bầu của lá phiếu là 10.000 x 2 = 20.000 phiếu;</w:t>
      </w:r>
    </w:p>
    <w:p w:rsidR="00C43DDC" w:rsidRPr="00536FBE" w:rsidRDefault="00C43DDC" w:rsidP="000C505A">
      <w:pPr>
        <w:numPr>
          <w:ilvl w:val="0"/>
          <w:numId w:val="12"/>
        </w:numPr>
        <w:tabs>
          <w:tab w:val="left" w:leader="dot" w:pos="2835"/>
        </w:tabs>
        <w:spacing w:before="120" w:after="120" w:line="320" w:lineRule="exact"/>
        <w:jc w:val="both"/>
      </w:pPr>
      <w:r w:rsidRPr="00536FBE">
        <w:t>Cách bầu đối với lá phiếu 10.000 cổ phần như sau:</w:t>
      </w:r>
    </w:p>
    <w:tbl>
      <w:tblPr>
        <w:tblW w:w="95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2397"/>
        <w:gridCol w:w="2223"/>
        <w:gridCol w:w="2160"/>
        <w:gridCol w:w="2157"/>
      </w:tblGrid>
      <w:tr w:rsidR="00C43DDC" w:rsidRPr="00C43DDC" w:rsidTr="00A736F9">
        <w:trPr>
          <w:trHeight w:val="414"/>
          <w:jc w:val="center"/>
        </w:trPr>
        <w:tc>
          <w:tcPr>
            <w:tcW w:w="600" w:type="dxa"/>
            <w:vMerge w:val="restart"/>
            <w:vAlign w:val="center"/>
          </w:tcPr>
          <w:p w:rsidR="00C43DDC" w:rsidRPr="00C43DDC" w:rsidRDefault="00C43DDC" w:rsidP="00C43DDC">
            <w:pPr>
              <w:spacing w:before="60" w:after="60"/>
              <w:jc w:val="center"/>
              <w:rPr>
                <w:b/>
                <w:sz w:val="23"/>
                <w:szCs w:val="23"/>
              </w:rPr>
            </w:pPr>
            <w:r w:rsidRPr="00C43DDC">
              <w:rPr>
                <w:b/>
                <w:sz w:val="23"/>
                <w:szCs w:val="23"/>
              </w:rPr>
              <w:t>TT</w:t>
            </w:r>
          </w:p>
        </w:tc>
        <w:tc>
          <w:tcPr>
            <w:tcW w:w="2397" w:type="dxa"/>
            <w:vMerge w:val="restart"/>
            <w:vAlign w:val="center"/>
          </w:tcPr>
          <w:p w:rsidR="00C43DDC" w:rsidRPr="00C43DDC" w:rsidRDefault="00C43DDC" w:rsidP="00C43DDC">
            <w:pPr>
              <w:jc w:val="center"/>
              <w:rPr>
                <w:b/>
                <w:sz w:val="23"/>
                <w:szCs w:val="23"/>
              </w:rPr>
            </w:pPr>
            <w:r w:rsidRPr="00C43DDC">
              <w:rPr>
                <w:b/>
                <w:sz w:val="23"/>
                <w:szCs w:val="23"/>
              </w:rPr>
              <w:t>Ứng viên</w:t>
            </w:r>
          </w:p>
        </w:tc>
        <w:tc>
          <w:tcPr>
            <w:tcW w:w="6540" w:type="dxa"/>
            <w:gridSpan w:val="3"/>
            <w:vAlign w:val="center"/>
          </w:tcPr>
          <w:p w:rsidR="00C43DDC" w:rsidRPr="00C43DDC" w:rsidRDefault="00C43DDC" w:rsidP="00C43DDC">
            <w:pPr>
              <w:spacing w:before="100" w:after="100"/>
              <w:jc w:val="center"/>
              <w:rPr>
                <w:b/>
                <w:sz w:val="23"/>
                <w:szCs w:val="23"/>
              </w:rPr>
            </w:pPr>
            <w:r w:rsidRPr="00C43DDC">
              <w:rPr>
                <w:b/>
                <w:sz w:val="23"/>
                <w:szCs w:val="23"/>
              </w:rPr>
              <w:t>Số phiếu bầu</w:t>
            </w:r>
          </w:p>
        </w:tc>
      </w:tr>
      <w:tr w:rsidR="00C43DDC" w:rsidRPr="00C43DDC" w:rsidTr="00A736F9">
        <w:trPr>
          <w:trHeight w:val="414"/>
          <w:jc w:val="center"/>
        </w:trPr>
        <w:tc>
          <w:tcPr>
            <w:tcW w:w="600" w:type="dxa"/>
            <w:vMerge/>
            <w:vAlign w:val="center"/>
          </w:tcPr>
          <w:p w:rsidR="00C43DDC" w:rsidRPr="00C43DDC" w:rsidRDefault="00C43DDC" w:rsidP="00C43DDC">
            <w:pPr>
              <w:spacing w:before="60" w:after="60"/>
              <w:jc w:val="center"/>
              <w:rPr>
                <w:b/>
                <w:sz w:val="23"/>
                <w:szCs w:val="23"/>
              </w:rPr>
            </w:pPr>
          </w:p>
        </w:tc>
        <w:tc>
          <w:tcPr>
            <w:tcW w:w="2397" w:type="dxa"/>
            <w:vMerge/>
            <w:vAlign w:val="center"/>
          </w:tcPr>
          <w:p w:rsidR="00C43DDC" w:rsidRPr="00C43DDC" w:rsidRDefault="00C43DDC" w:rsidP="00C43DDC">
            <w:pPr>
              <w:jc w:val="center"/>
              <w:rPr>
                <w:b/>
                <w:sz w:val="23"/>
                <w:szCs w:val="23"/>
              </w:rPr>
            </w:pPr>
          </w:p>
        </w:tc>
        <w:tc>
          <w:tcPr>
            <w:tcW w:w="2223" w:type="dxa"/>
            <w:vAlign w:val="center"/>
          </w:tcPr>
          <w:p w:rsidR="00C43DDC" w:rsidRPr="00C43DDC" w:rsidRDefault="00C43DDC" w:rsidP="00C43DDC">
            <w:pPr>
              <w:spacing w:before="60"/>
              <w:ind w:left="-57" w:right="-57"/>
              <w:jc w:val="center"/>
              <w:rPr>
                <w:b/>
                <w:sz w:val="23"/>
                <w:szCs w:val="23"/>
                <w:lang w:val="vi-VN"/>
              </w:rPr>
            </w:pPr>
            <w:r w:rsidRPr="00C43DDC">
              <w:rPr>
                <w:b/>
                <w:sz w:val="23"/>
                <w:szCs w:val="23"/>
              </w:rPr>
              <w:t>Cách 1</w:t>
            </w:r>
            <w:r w:rsidRPr="00C43DDC">
              <w:rPr>
                <w:b/>
                <w:sz w:val="23"/>
                <w:szCs w:val="23"/>
                <w:lang w:val="vi-VN"/>
              </w:rPr>
              <w:t xml:space="preserve"> </w:t>
            </w:r>
          </w:p>
          <w:p w:rsidR="00C43DDC" w:rsidRPr="00C43DDC" w:rsidRDefault="00C43DDC" w:rsidP="00C43DDC">
            <w:pPr>
              <w:spacing w:before="60"/>
              <w:ind w:left="-57" w:right="-57"/>
              <w:jc w:val="center"/>
              <w:rPr>
                <w:sz w:val="23"/>
                <w:szCs w:val="23"/>
              </w:rPr>
            </w:pPr>
            <w:r w:rsidRPr="00C43DDC">
              <w:rPr>
                <w:sz w:val="23"/>
                <w:szCs w:val="23"/>
                <w:lang w:val="vi-VN"/>
              </w:rPr>
              <w:t>(bầu đều cho 2 người)</w:t>
            </w:r>
          </w:p>
        </w:tc>
        <w:tc>
          <w:tcPr>
            <w:tcW w:w="2160" w:type="dxa"/>
            <w:vAlign w:val="center"/>
          </w:tcPr>
          <w:p w:rsidR="00C43DDC" w:rsidRPr="00C43DDC" w:rsidRDefault="00C43DDC" w:rsidP="00C43DDC">
            <w:pPr>
              <w:ind w:left="-57" w:right="-57"/>
              <w:jc w:val="center"/>
              <w:rPr>
                <w:b/>
                <w:sz w:val="23"/>
                <w:szCs w:val="23"/>
              </w:rPr>
            </w:pPr>
            <w:r w:rsidRPr="00C43DDC">
              <w:rPr>
                <w:b/>
                <w:sz w:val="23"/>
                <w:szCs w:val="23"/>
              </w:rPr>
              <w:t>Cách 2</w:t>
            </w:r>
          </w:p>
          <w:p w:rsidR="00C43DDC" w:rsidRPr="00C43DDC" w:rsidRDefault="00C43DDC" w:rsidP="0015157F">
            <w:pPr>
              <w:spacing w:before="60"/>
              <w:ind w:left="-57" w:right="-57"/>
              <w:jc w:val="center"/>
              <w:rPr>
                <w:spacing w:val="-8"/>
                <w:w w:val="98"/>
                <w:sz w:val="23"/>
                <w:szCs w:val="23"/>
              </w:rPr>
            </w:pPr>
            <w:r w:rsidRPr="00C43DDC">
              <w:rPr>
                <w:sz w:val="23"/>
                <w:szCs w:val="23"/>
                <w:lang w:val="vi-VN"/>
              </w:rPr>
              <w:t xml:space="preserve">(bầu hết cho </w:t>
            </w:r>
            <w:r w:rsidR="0015157F">
              <w:rPr>
                <w:sz w:val="23"/>
                <w:szCs w:val="23"/>
              </w:rPr>
              <w:t>1</w:t>
            </w:r>
            <w:r w:rsidRPr="00C43DDC">
              <w:rPr>
                <w:sz w:val="23"/>
                <w:szCs w:val="23"/>
                <w:lang w:val="vi-VN"/>
              </w:rPr>
              <w:t xml:space="preserve"> người)</w:t>
            </w:r>
          </w:p>
        </w:tc>
        <w:tc>
          <w:tcPr>
            <w:tcW w:w="2157" w:type="dxa"/>
            <w:vAlign w:val="center"/>
          </w:tcPr>
          <w:p w:rsidR="00C43DDC" w:rsidRPr="00C43DDC" w:rsidRDefault="00C43DDC" w:rsidP="00C43DDC">
            <w:pPr>
              <w:ind w:left="-57" w:right="-57"/>
              <w:jc w:val="center"/>
              <w:rPr>
                <w:b/>
                <w:sz w:val="23"/>
                <w:szCs w:val="23"/>
              </w:rPr>
            </w:pPr>
            <w:r w:rsidRPr="00C43DDC">
              <w:rPr>
                <w:b/>
                <w:sz w:val="23"/>
                <w:szCs w:val="23"/>
              </w:rPr>
              <w:t>Cách 3</w:t>
            </w:r>
          </w:p>
          <w:p w:rsidR="00C43DDC" w:rsidRPr="00C43DDC" w:rsidRDefault="00C43DDC" w:rsidP="00C43DDC">
            <w:pPr>
              <w:spacing w:before="60"/>
              <w:ind w:left="-57" w:right="-57"/>
              <w:jc w:val="center"/>
              <w:rPr>
                <w:spacing w:val="-6"/>
                <w:w w:val="98"/>
                <w:sz w:val="23"/>
                <w:szCs w:val="23"/>
              </w:rPr>
            </w:pPr>
            <w:r w:rsidRPr="00C43DDC">
              <w:rPr>
                <w:sz w:val="23"/>
                <w:szCs w:val="23"/>
                <w:lang w:val="vi-VN"/>
              </w:rPr>
              <w:t>(bầu theo tỷ lệ khác)</w:t>
            </w:r>
          </w:p>
        </w:tc>
      </w:tr>
      <w:tr w:rsidR="00C43DDC" w:rsidRPr="00805ECA" w:rsidTr="00A736F9">
        <w:trPr>
          <w:jc w:val="center"/>
        </w:trPr>
        <w:tc>
          <w:tcPr>
            <w:tcW w:w="600" w:type="dxa"/>
            <w:vAlign w:val="center"/>
          </w:tcPr>
          <w:p w:rsidR="00C43DDC" w:rsidRPr="00805ECA" w:rsidRDefault="00C43DDC" w:rsidP="00C43DDC">
            <w:pPr>
              <w:numPr>
                <w:ilvl w:val="0"/>
                <w:numId w:val="14"/>
              </w:numPr>
              <w:spacing w:before="60" w:after="60"/>
              <w:jc w:val="both"/>
            </w:pPr>
          </w:p>
        </w:tc>
        <w:tc>
          <w:tcPr>
            <w:tcW w:w="2397" w:type="dxa"/>
            <w:vAlign w:val="center"/>
          </w:tcPr>
          <w:p w:rsidR="00C43DDC" w:rsidRPr="00805ECA" w:rsidRDefault="00C43DDC" w:rsidP="008F10CE">
            <w:r w:rsidRPr="00805ECA">
              <w:t>Ông Nguyễn Văn A</w:t>
            </w:r>
          </w:p>
        </w:tc>
        <w:tc>
          <w:tcPr>
            <w:tcW w:w="2223" w:type="dxa"/>
            <w:vAlign w:val="center"/>
          </w:tcPr>
          <w:p w:rsidR="00C43DDC" w:rsidRPr="00805ECA" w:rsidRDefault="00C43DDC" w:rsidP="00C43DDC">
            <w:pPr>
              <w:jc w:val="center"/>
            </w:pPr>
            <w:r>
              <w:t>10.000</w:t>
            </w:r>
          </w:p>
        </w:tc>
        <w:tc>
          <w:tcPr>
            <w:tcW w:w="2160" w:type="dxa"/>
            <w:vAlign w:val="center"/>
          </w:tcPr>
          <w:p w:rsidR="00C43DDC" w:rsidRPr="00805ECA" w:rsidRDefault="00C43DDC" w:rsidP="00C43DDC">
            <w:pPr>
              <w:jc w:val="center"/>
            </w:pPr>
            <w:r>
              <w:t>20.000</w:t>
            </w:r>
          </w:p>
        </w:tc>
        <w:tc>
          <w:tcPr>
            <w:tcW w:w="2157" w:type="dxa"/>
            <w:vAlign w:val="center"/>
          </w:tcPr>
          <w:p w:rsidR="00C43DDC" w:rsidRPr="00805ECA" w:rsidRDefault="00C43DDC" w:rsidP="00C43DDC">
            <w:pPr>
              <w:jc w:val="center"/>
            </w:pPr>
            <w:r>
              <w:t>5.000</w:t>
            </w:r>
          </w:p>
        </w:tc>
      </w:tr>
      <w:tr w:rsidR="00C43DDC" w:rsidRPr="00805ECA" w:rsidTr="00A736F9">
        <w:trPr>
          <w:jc w:val="center"/>
        </w:trPr>
        <w:tc>
          <w:tcPr>
            <w:tcW w:w="600" w:type="dxa"/>
            <w:vAlign w:val="center"/>
          </w:tcPr>
          <w:p w:rsidR="00C43DDC" w:rsidRPr="00805ECA" w:rsidRDefault="00C43DDC" w:rsidP="00C43DDC">
            <w:pPr>
              <w:numPr>
                <w:ilvl w:val="0"/>
                <w:numId w:val="14"/>
              </w:numPr>
              <w:spacing w:before="60" w:after="60"/>
              <w:jc w:val="both"/>
            </w:pPr>
          </w:p>
        </w:tc>
        <w:tc>
          <w:tcPr>
            <w:tcW w:w="2397" w:type="dxa"/>
            <w:vAlign w:val="center"/>
          </w:tcPr>
          <w:p w:rsidR="00C43DDC" w:rsidRPr="00805ECA" w:rsidRDefault="00C43DDC" w:rsidP="008F10CE">
            <w:r w:rsidRPr="00805ECA">
              <w:t>Ông Nguyễn Văn B</w:t>
            </w:r>
          </w:p>
        </w:tc>
        <w:tc>
          <w:tcPr>
            <w:tcW w:w="2223" w:type="dxa"/>
            <w:vAlign w:val="center"/>
          </w:tcPr>
          <w:p w:rsidR="00C43DDC" w:rsidRPr="00805ECA" w:rsidRDefault="00C43DDC" w:rsidP="00C43DDC">
            <w:pPr>
              <w:jc w:val="center"/>
            </w:pPr>
            <w:r>
              <w:t>10.000</w:t>
            </w:r>
          </w:p>
        </w:tc>
        <w:tc>
          <w:tcPr>
            <w:tcW w:w="2160" w:type="dxa"/>
            <w:vAlign w:val="center"/>
          </w:tcPr>
          <w:p w:rsidR="00C43DDC" w:rsidRPr="00805ECA" w:rsidRDefault="003D21D7" w:rsidP="00C43DDC">
            <w:pPr>
              <w:jc w:val="center"/>
            </w:pPr>
            <w:r>
              <w:rPr>
                <w:noProof/>
                <w:lang w:eastAsia="en-US"/>
              </w:rPr>
              <mc:AlternateContent>
                <mc:Choice Requires="wps">
                  <w:drawing>
                    <wp:anchor distT="0" distB="0" distL="114300" distR="114300" simplePos="0" relativeHeight="251657728" behindDoc="0" locked="0" layoutInCell="1" allowOverlap="1">
                      <wp:simplePos x="0" y="0"/>
                      <wp:positionH relativeFrom="column">
                        <wp:posOffset>-28575</wp:posOffset>
                      </wp:positionH>
                      <wp:positionV relativeFrom="paragraph">
                        <wp:posOffset>49530</wp:posOffset>
                      </wp:positionV>
                      <wp:extent cx="1310640" cy="173990"/>
                      <wp:effectExtent l="9525" t="11430" r="13335"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640" cy="173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3.9pt" to="100.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Vw0GA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"/>
                  </w:pict>
                </mc:Fallback>
              </mc:AlternateContent>
            </w:r>
          </w:p>
        </w:tc>
        <w:tc>
          <w:tcPr>
            <w:tcW w:w="2157" w:type="dxa"/>
            <w:vAlign w:val="center"/>
          </w:tcPr>
          <w:p w:rsidR="00C43DDC" w:rsidRPr="00805ECA" w:rsidRDefault="00C43DDC" w:rsidP="00C43DDC">
            <w:pPr>
              <w:jc w:val="center"/>
            </w:pPr>
            <w:r>
              <w:t>15.000</w:t>
            </w:r>
          </w:p>
        </w:tc>
      </w:tr>
      <w:tr w:rsidR="00C43DDC" w:rsidRPr="00C43DDC" w:rsidTr="00A736F9">
        <w:trPr>
          <w:jc w:val="center"/>
        </w:trPr>
        <w:tc>
          <w:tcPr>
            <w:tcW w:w="600" w:type="dxa"/>
            <w:vAlign w:val="center"/>
          </w:tcPr>
          <w:p w:rsidR="00C43DDC" w:rsidRPr="00C43DDC" w:rsidRDefault="00C43DDC" w:rsidP="00C43DDC">
            <w:pPr>
              <w:spacing w:before="60" w:after="60"/>
              <w:jc w:val="center"/>
              <w:rPr>
                <w:b/>
              </w:rPr>
            </w:pPr>
          </w:p>
        </w:tc>
        <w:tc>
          <w:tcPr>
            <w:tcW w:w="2397" w:type="dxa"/>
            <w:vAlign w:val="center"/>
          </w:tcPr>
          <w:p w:rsidR="00C43DDC" w:rsidRPr="00C43DDC" w:rsidRDefault="00C43DDC" w:rsidP="00C43DDC">
            <w:pPr>
              <w:jc w:val="center"/>
              <w:rPr>
                <w:b/>
              </w:rPr>
            </w:pPr>
            <w:r w:rsidRPr="00C43DDC">
              <w:rPr>
                <w:b/>
              </w:rPr>
              <w:t>Tổng số phiếu bầu</w:t>
            </w:r>
          </w:p>
        </w:tc>
        <w:tc>
          <w:tcPr>
            <w:tcW w:w="2223" w:type="dxa"/>
            <w:vAlign w:val="center"/>
          </w:tcPr>
          <w:p w:rsidR="00C43DDC" w:rsidRPr="00C43DDC" w:rsidRDefault="00C43DDC" w:rsidP="00C43DDC">
            <w:pPr>
              <w:jc w:val="center"/>
              <w:rPr>
                <w:b/>
              </w:rPr>
            </w:pPr>
            <w:r w:rsidRPr="00C43DDC">
              <w:rPr>
                <w:b/>
              </w:rPr>
              <w:t>20.000</w:t>
            </w:r>
          </w:p>
        </w:tc>
        <w:tc>
          <w:tcPr>
            <w:tcW w:w="2160" w:type="dxa"/>
            <w:vAlign w:val="center"/>
          </w:tcPr>
          <w:p w:rsidR="00C43DDC" w:rsidRPr="00C43DDC" w:rsidRDefault="00C43DDC" w:rsidP="00C43DDC">
            <w:pPr>
              <w:jc w:val="center"/>
              <w:rPr>
                <w:b/>
              </w:rPr>
            </w:pPr>
            <w:r w:rsidRPr="00C43DDC">
              <w:rPr>
                <w:b/>
              </w:rPr>
              <w:t>20.000</w:t>
            </w:r>
          </w:p>
        </w:tc>
        <w:tc>
          <w:tcPr>
            <w:tcW w:w="2157" w:type="dxa"/>
            <w:vAlign w:val="center"/>
          </w:tcPr>
          <w:p w:rsidR="00C43DDC" w:rsidRPr="00C43DDC" w:rsidRDefault="00C43DDC" w:rsidP="00C43DDC">
            <w:pPr>
              <w:jc w:val="center"/>
              <w:rPr>
                <w:b/>
              </w:rPr>
            </w:pPr>
            <w:r w:rsidRPr="00C43DDC">
              <w:rPr>
                <w:b/>
              </w:rPr>
              <w:t>20.000</w:t>
            </w:r>
          </w:p>
        </w:tc>
      </w:tr>
    </w:tbl>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p w:rsidR="00323120" w:rsidRPr="009F1D31" w:rsidRDefault="00323120" w:rsidP="00A0688F">
      <w:pPr>
        <w:jc w:val="both"/>
        <w:rPr>
          <w:b/>
          <w:u w:val="single"/>
          <w:lang w:val="de-DE"/>
        </w:rPr>
      </w:pPr>
    </w:p>
    <w:sectPr w:rsidR="00323120" w:rsidRPr="009F1D31" w:rsidSect="00711A9A">
      <w:footerReference w:type="default" r:id="rId9"/>
      <w:pgSz w:w="11907" w:h="16840" w:code="9"/>
      <w:pgMar w:top="851" w:right="1134" w:bottom="567" w:left="1418" w:header="567" w:footer="362"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72B" w:rsidRDefault="008D072B" w:rsidP="00BB02E4">
      <w:r>
        <w:separator/>
      </w:r>
    </w:p>
  </w:endnote>
  <w:endnote w:type="continuationSeparator" w:id="0">
    <w:p w:rsidR="008D072B" w:rsidRDefault="008D072B" w:rsidP="00BB0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A00002BF" w:usb1="68C7FCFB" w:usb2="00000010" w:usb3="00000000" w:csb0="0002009F" w:csb1="00000000"/>
  </w:font>
  <w:font w:name=".VnTime">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72B" w:rsidRPr="00B3678A" w:rsidRDefault="008D072B">
    <w:pPr>
      <w:pStyle w:val="Footer"/>
      <w:jc w:val="right"/>
      <w:rPr>
        <w:sz w:val="20"/>
        <w:szCs w:val="20"/>
      </w:rPr>
    </w:pPr>
    <w:r w:rsidRPr="00B3678A">
      <w:rPr>
        <w:sz w:val="20"/>
        <w:szCs w:val="20"/>
      </w:rPr>
      <w:t xml:space="preserve">Trang </w:t>
    </w:r>
    <w:sdt>
      <w:sdtPr>
        <w:rPr>
          <w:sz w:val="20"/>
          <w:szCs w:val="20"/>
        </w:rPr>
        <w:id w:val="-1302375335"/>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B3678A">
              <w:rPr>
                <w:b/>
                <w:bCs/>
                <w:sz w:val="20"/>
                <w:szCs w:val="20"/>
              </w:rPr>
              <w:fldChar w:fldCharType="begin"/>
            </w:r>
            <w:r w:rsidRPr="00B3678A">
              <w:rPr>
                <w:b/>
                <w:bCs/>
                <w:sz w:val="20"/>
                <w:szCs w:val="20"/>
              </w:rPr>
              <w:instrText xml:space="preserve"> PAGE </w:instrText>
            </w:r>
            <w:r w:rsidRPr="00B3678A">
              <w:rPr>
                <w:b/>
                <w:bCs/>
                <w:sz w:val="20"/>
                <w:szCs w:val="20"/>
              </w:rPr>
              <w:fldChar w:fldCharType="separate"/>
            </w:r>
            <w:r w:rsidR="00E15A0D">
              <w:rPr>
                <w:b/>
                <w:bCs/>
                <w:noProof/>
                <w:sz w:val="20"/>
                <w:szCs w:val="20"/>
              </w:rPr>
              <w:t>4</w:t>
            </w:r>
            <w:r w:rsidRPr="00B3678A">
              <w:rPr>
                <w:b/>
                <w:bCs/>
                <w:sz w:val="20"/>
                <w:szCs w:val="20"/>
              </w:rPr>
              <w:fldChar w:fldCharType="end"/>
            </w:r>
            <w:r w:rsidRPr="00B3678A">
              <w:rPr>
                <w:sz w:val="20"/>
                <w:szCs w:val="20"/>
              </w:rPr>
              <w:t>/</w:t>
            </w:r>
            <w:r w:rsidRPr="00B3678A">
              <w:rPr>
                <w:b/>
                <w:bCs/>
                <w:sz w:val="20"/>
                <w:szCs w:val="20"/>
              </w:rPr>
              <w:fldChar w:fldCharType="begin"/>
            </w:r>
            <w:r w:rsidRPr="00B3678A">
              <w:rPr>
                <w:b/>
                <w:bCs/>
                <w:sz w:val="20"/>
                <w:szCs w:val="20"/>
              </w:rPr>
              <w:instrText xml:space="preserve"> NUMPAGES  </w:instrText>
            </w:r>
            <w:r w:rsidRPr="00B3678A">
              <w:rPr>
                <w:b/>
                <w:bCs/>
                <w:sz w:val="20"/>
                <w:szCs w:val="20"/>
              </w:rPr>
              <w:fldChar w:fldCharType="separate"/>
            </w:r>
            <w:r w:rsidR="00E15A0D">
              <w:rPr>
                <w:b/>
                <w:bCs/>
                <w:noProof/>
                <w:sz w:val="20"/>
                <w:szCs w:val="20"/>
              </w:rPr>
              <w:t>4</w:t>
            </w:r>
            <w:r w:rsidRPr="00B3678A">
              <w:rPr>
                <w:b/>
                <w:bCs/>
                <w:sz w:val="20"/>
                <w:szCs w:val="20"/>
              </w:rPr>
              <w:fldChar w:fldCharType="end"/>
            </w:r>
          </w:sdtContent>
        </w:sdt>
      </w:sdtContent>
    </w:sdt>
  </w:p>
  <w:p w:rsidR="008D072B" w:rsidRPr="00B3678A" w:rsidRDefault="008D072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72B" w:rsidRDefault="008D072B" w:rsidP="00BB02E4">
      <w:r>
        <w:separator/>
      </w:r>
    </w:p>
  </w:footnote>
  <w:footnote w:type="continuationSeparator" w:id="0">
    <w:p w:rsidR="008D072B" w:rsidRDefault="008D072B" w:rsidP="00BB02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61D8"/>
    <w:multiLevelType w:val="multilevel"/>
    <w:tmpl w:val="F1004448"/>
    <w:lvl w:ilvl="0">
      <w:start w:val="39"/>
      <w:numFmt w:val="decimal"/>
      <w:lvlText w:val="%1"/>
      <w:lvlJc w:val="left"/>
      <w:pPr>
        <w:tabs>
          <w:tab w:val="num" w:pos="450"/>
        </w:tabs>
        <w:ind w:left="450" w:hanging="450"/>
      </w:pPr>
      <w:rPr>
        <w:rFonts w:hint="default"/>
      </w:rPr>
    </w:lvl>
    <w:lvl w:ilvl="1">
      <w:start w:val="1"/>
      <w:numFmt w:val="decimal"/>
      <w:lvlText w:val="39.%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340A0"/>
    <w:multiLevelType w:val="hybridMultilevel"/>
    <w:tmpl w:val="DEDEA260"/>
    <w:lvl w:ilvl="0" w:tplc="AF2E16A6">
      <w:numFmt w:val="bullet"/>
      <w:lvlText w:val="-"/>
      <w:lvlJc w:val="left"/>
      <w:pPr>
        <w:tabs>
          <w:tab w:val="num" w:pos="794"/>
        </w:tabs>
        <w:ind w:left="794" w:hanging="397"/>
      </w:pPr>
      <w:rPr>
        <w:rFonts w:ascii="Times New Roman" w:eastAsia="Times New Roman" w:hAnsi="Times New Roman" w:cs="Times New Roman" w:hint="default"/>
      </w:rPr>
    </w:lvl>
    <w:lvl w:ilvl="1" w:tplc="41A8443A">
      <w:numFmt w:val="bullet"/>
      <w:lvlText w:val="+"/>
      <w:lvlJc w:val="left"/>
      <w:pPr>
        <w:tabs>
          <w:tab w:val="num" w:pos="1191"/>
        </w:tabs>
        <w:ind w:left="1191" w:hanging="397"/>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051911"/>
    <w:multiLevelType w:val="hybridMultilevel"/>
    <w:tmpl w:val="885C90BC"/>
    <w:lvl w:ilvl="0" w:tplc="EF68F2A6">
      <w:start w:val="1"/>
      <w:numFmt w:val="decimal"/>
      <w:lvlText w:val="%1."/>
      <w:lvlJc w:val="left"/>
      <w:pPr>
        <w:tabs>
          <w:tab w:val="num" w:pos="170"/>
        </w:tabs>
        <w:ind w:left="170" w:hanging="17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321181"/>
    <w:multiLevelType w:val="hybridMultilevel"/>
    <w:tmpl w:val="97EA7A3C"/>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1">
      <w:start w:val="1"/>
      <w:numFmt w:val="bullet"/>
      <w:lvlText w:val=""/>
      <w:lvlJc w:val="left"/>
      <w:pPr>
        <w:tabs>
          <w:tab w:val="num" w:pos="2340"/>
        </w:tabs>
        <w:ind w:left="2340" w:hanging="360"/>
      </w:pPr>
      <w:rPr>
        <w:rFonts w:ascii="Symbol" w:hAnsi="Symbol" w:hint="default"/>
      </w:rPr>
    </w:lvl>
    <w:lvl w:ilvl="3" w:tplc="CDCA5F60">
      <w:start w:val="3"/>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722C51"/>
    <w:multiLevelType w:val="hybridMultilevel"/>
    <w:tmpl w:val="369C9004"/>
    <w:lvl w:ilvl="0" w:tplc="95541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13F4DAA"/>
    <w:multiLevelType w:val="hybridMultilevel"/>
    <w:tmpl w:val="69F2DFC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D254A14"/>
    <w:multiLevelType w:val="multilevel"/>
    <w:tmpl w:val="341C7E32"/>
    <w:lvl w:ilvl="0">
      <w:start w:val="8"/>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1D5A4E4A"/>
    <w:multiLevelType w:val="hybridMultilevel"/>
    <w:tmpl w:val="5B9C07F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180E37"/>
    <w:multiLevelType w:val="hybridMultilevel"/>
    <w:tmpl w:val="7F4E46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EB3EBB"/>
    <w:multiLevelType w:val="hybridMultilevel"/>
    <w:tmpl w:val="F6746A92"/>
    <w:lvl w:ilvl="0" w:tplc="51601F06">
      <w:start w:val="1"/>
      <w:numFmt w:val="decimal"/>
      <w:lvlText w:val="%1."/>
      <w:lvlJc w:val="left"/>
      <w:pPr>
        <w:tabs>
          <w:tab w:val="num" w:pos="397"/>
        </w:tabs>
        <w:ind w:left="397" w:hanging="397"/>
      </w:pPr>
      <w:rPr>
        <w:rFonts w:ascii="Times New Roman" w:hAnsi="Times New Roman" w:hint="default"/>
        <w:b/>
        <w:i/>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7DC536A"/>
    <w:multiLevelType w:val="multilevel"/>
    <w:tmpl w:val="A1C0F5F2"/>
    <w:lvl w:ilvl="0">
      <w:start w:val="4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82E36F3"/>
    <w:multiLevelType w:val="hybridMultilevel"/>
    <w:tmpl w:val="458A2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691B32"/>
    <w:multiLevelType w:val="hybridMultilevel"/>
    <w:tmpl w:val="2A240BEC"/>
    <w:lvl w:ilvl="0" w:tplc="D992533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3EB7FF4"/>
    <w:multiLevelType w:val="multilevel"/>
    <w:tmpl w:val="63DC783A"/>
    <w:lvl w:ilvl="0">
      <w:start w:val="39"/>
      <w:numFmt w:val="decimal"/>
      <w:lvlText w:val="%1"/>
      <w:lvlJc w:val="left"/>
      <w:pPr>
        <w:tabs>
          <w:tab w:val="num" w:pos="465"/>
        </w:tabs>
        <w:ind w:left="465" w:hanging="465"/>
      </w:pPr>
      <w:rPr>
        <w:rFonts w:hint="default"/>
      </w:rPr>
    </w:lvl>
    <w:lvl w:ilvl="1">
      <w:start w:val="4"/>
      <w:numFmt w:val="decimal"/>
      <w:lvlText w:val="%1.%2"/>
      <w:lvlJc w:val="left"/>
      <w:pPr>
        <w:tabs>
          <w:tab w:val="num" w:pos="645"/>
        </w:tabs>
        <w:ind w:left="64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42A7324"/>
    <w:multiLevelType w:val="hybridMultilevel"/>
    <w:tmpl w:val="F44CA6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75EA3"/>
    <w:multiLevelType w:val="hybridMultilevel"/>
    <w:tmpl w:val="D1263054"/>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A81279F"/>
    <w:multiLevelType w:val="hybridMultilevel"/>
    <w:tmpl w:val="62DCEF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482DAD"/>
    <w:multiLevelType w:val="hybridMultilevel"/>
    <w:tmpl w:val="369EB31C"/>
    <w:lvl w:ilvl="0" w:tplc="E0C0B160">
      <w:start w:val="1"/>
      <w:numFmt w:val="decimal"/>
      <w:lvlText w:val="%1."/>
      <w:lvlJc w:val="left"/>
      <w:pPr>
        <w:ind w:left="6930" w:hanging="360"/>
      </w:pPr>
      <w:rPr>
        <w:b w:val="0"/>
        <w:i w:val="0"/>
      </w:rPr>
    </w:lvl>
    <w:lvl w:ilvl="1" w:tplc="39944460">
      <w:start w:val="1"/>
      <w:numFmt w:val="decimal"/>
      <w:lvlText w:val="4.%2."/>
      <w:lvlJc w:val="left"/>
      <w:pPr>
        <w:ind w:left="8515" w:hanging="360"/>
      </w:pPr>
      <w:rPr>
        <w:rFonts w:ascii="Times New Roman" w:hAnsi="Times New Roman" w:hint="default"/>
        <w:b w:val="0"/>
        <w:i w:val="0"/>
      </w:rPr>
    </w:lvl>
    <w:lvl w:ilvl="2" w:tplc="0409001B" w:tentative="1">
      <w:start w:val="1"/>
      <w:numFmt w:val="lowerRoman"/>
      <w:lvlText w:val="%3."/>
      <w:lvlJc w:val="right"/>
      <w:pPr>
        <w:ind w:left="9180" w:hanging="180"/>
      </w:pPr>
    </w:lvl>
    <w:lvl w:ilvl="3" w:tplc="0409000F" w:tentative="1">
      <w:start w:val="1"/>
      <w:numFmt w:val="decimal"/>
      <w:lvlText w:val="%4."/>
      <w:lvlJc w:val="left"/>
      <w:pPr>
        <w:ind w:left="9900" w:hanging="360"/>
      </w:pPr>
    </w:lvl>
    <w:lvl w:ilvl="4" w:tplc="04090019" w:tentative="1">
      <w:start w:val="1"/>
      <w:numFmt w:val="lowerLetter"/>
      <w:lvlText w:val="%5."/>
      <w:lvlJc w:val="left"/>
      <w:pPr>
        <w:ind w:left="10620" w:hanging="360"/>
      </w:pPr>
    </w:lvl>
    <w:lvl w:ilvl="5" w:tplc="0409001B" w:tentative="1">
      <w:start w:val="1"/>
      <w:numFmt w:val="lowerRoman"/>
      <w:lvlText w:val="%6."/>
      <w:lvlJc w:val="right"/>
      <w:pPr>
        <w:ind w:left="11340" w:hanging="180"/>
      </w:pPr>
    </w:lvl>
    <w:lvl w:ilvl="6" w:tplc="0409000F" w:tentative="1">
      <w:start w:val="1"/>
      <w:numFmt w:val="decimal"/>
      <w:lvlText w:val="%7."/>
      <w:lvlJc w:val="left"/>
      <w:pPr>
        <w:ind w:left="12060" w:hanging="360"/>
      </w:pPr>
    </w:lvl>
    <w:lvl w:ilvl="7" w:tplc="04090019" w:tentative="1">
      <w:start w:val="1"/>
      <w:numFmt w:val="lowerLetter"/>
      <w:lvlText w:val="%8."/>
      <w:lvlJc w:val="left"/>
      <w:pPr>
        <w:ind w:left="12780" w:hanging="360"/>
      </w:pPr>
    </w:lvl>
    <w:lvl w:ilvl="8" w:tplc="0409001B" w:tentative="1">
      <w:start w:val="1"/>
      <w:numFmt w:val="lowerRoman"/>
      <w:lvlText w:val="%9."/>
      <w:lvlJc w:val="right"/>
      <w:pPr>
        <w:ind w:left="13500" w:hanging="180"/>
      </w:pPr>
    </w:lvl>
  </w:abstractNum>
  <w:abstractNum w:abstractNumId="18">
    <w:nsid w:val="3FD57F8E"/>
    <w:multiLevelType w:val="hybridMultilevel"/>
    <w:tmpl w:val="6E38D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D0708A"/>
    <w:multiLevelType w:val="hybridMultilevel"/>
    <w:tmpl w:val="A880C122"/>
    <w:lvl w:ilvl="0" w:tplc="D2C440B0">
      <w:start w:val="1"/>
      <w:numFmt w:val="lowerLetter"/>
      <w:lvlText w:val="%1."/>
      <w:lvlJc w:val="left"/>
      <w:pPr>
        <w:tabs>
          <w:tab w:val="num" w:pos="720"/>
        </w:tabs>
        <w:ind w:left="720" w:hanging="360"/>
      </w:pPr>
      <w:rPr>
        <w:rFonts w:ascii="Times New Roman" w:hAnsi="Times New Roman" w:cs="Times New Roman"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4F94C3B"/>
    <w:multiLevelType w:val="hybridMultilevel"/>
    <w:tmpl w:val="369C9004"/>
    <w:lvl w:ilvl="0" w:tplc="95541C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8301159"/>
    <w:multiLevelType w:val="hybridMultilevel"/>
    <w:tmpl w:val="58F2D7B2"/>
    <w:lvl w:ilvl="0" w:tplc="95541CFE">
      <w:start w:val="5"/>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C274050"/>
    <w:multiLevelType w:val="hybridMultilevel"/>
    <w:tmpl w:val="1F66F768"/>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D2552D5"/>
    <w:multiLevelType w:val="hybridMultilevel"/>
    <w:tmpl w:val="885CD78C"/>
    <w:lvl w:ilvl="0" w:tplc="59847032">
      <w:start w:val="1"/>
      <w:numFmt w:val="decimal"/>
      <w:lvlText w:val="%1."/>
      <w:lvlJc w:val="left"/>
      <w:pPr>
        <w:ind w:left="1429" w:hanging="360"/>
      </w:pPr>
      <w:rPr>
        <w:b w:val="0"/>
      </w:rPr>
    </w:lvl>
    <w:lvl w:ilvl="1" w:tplc="CA583910">
      <w:start w:val="1"/>
      <w:numFmt w:val="decimal"/>
      <w:lvlText w:val="2.%2."/>
      <w:lvlJc w:val="left"/>
      <w:pPr>
        <w:ind w:left="1440" w:hanging="360"/>
      </w:pPr>
      <w:rPr>
        <w:rFonts w:hint="default"/>
        <w:b w:val="0"/>
        <w:i w:val="0"/>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4">
    <w:nsid w:val="556260AB"/>
    <w:multiLevelType w:val="multilevel"/>
    <w:tmpl w:val="B860E274"/>
    <w:lvl w:ilvl="0">
      <w:start w:val="2"/>
      <w:numFmt w:val="decimal"/>
      <w:lvlText w:val="%1"/>
      <w:lvlJc w:val="left"/>
      <w:pPr>
        <w:ind w:left="360" w:hanging="360"/>
      </w:pPr>
      <w:rPr>
        <w:rFonts w:hint="default"/>
        <w:b w:val="0"/>
        <w:i w:val="0"/>
      </w:rPr>
    </w:lvl>
    <w:lvl w:ilvl="1">
      <w:start w:val="2"/>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25">
    <w:nsid w:val="576D3E37"/>
    <w:multiLevelType w:val="hybridMultilevel"/>
    <w:tmpl w:val="ABF090B6"/>
    <w:lvl w:ilvl="0" w:tplc="9554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D37405"/>
    <w:multiLevelType w:val="hybridMultilevel"/>
    <w:tmpl w:val="E74E1CCE"/>
    <w:lvl w:ilvl="0" w:tplc="94F4C7AE">
      <w:start w:val="1"/>
      <w:numFmt w:val="decimal"/>
      <w:lvlText w:val="5.%1."/>
      <w:lvlJc w:val="left"/>
      <w:pPr>
        <w:ind w:left="720" w:hanging="360"/>
      </w:pPr>
      <w:rPr>
        <w:rFonts w:ascii="Times New Roman" w:hAnsi="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E458B"/>
    <w:multiLevelType w:val="hybridMultilevel"/>
    <w:tmpl w:val="288621A4"/>
    <w:lvl w:ilvl="0" w:tplc="E2820FB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F8C3ABD"/>
    <w:multiLevelType w:val="hybridMultilevel"/>
    <w:tmpl w:val="6EFEA498"/>
    <w:lvl w:ilvl="0" w:tplc="59847032">
      <w:start w:val="1"/>
      <w:numFmt w:val="decimal"/>
      <w:lvlText w:val="%1."/>
      <w:lvlJc w:val="left"/>
      <w:pPr>
        <w:ind w:left="360" w:hanging="360"/>
      </w:pPr>
      <w:rPr>
        <w:b w:val="0"/>
      </w:rPr>
    </w:lvl>
    <w:lvl w:ilvl="1" w:tplc="A7865B84">
      <w:start w:val="1"/>
      <w:numFmt w:val="decimal"/>
      <w:lvlText w:val="1.%2."/>
      <w:lvlJc w:val="left"/>
      <w:pPr>
        <w:ind w:left="-709"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6301079"/>
    <w:multiLevelType w:val="hybridMultilevel"/>
    <w:tmpl w:val="29FAAE92"/>
    <w:lvl w:ilvl="0" w:tplc="AF2E16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257FD"/>
    <w:multiLevelType w:val="hybridMultilevel"/>
    <w:tmpl w:val="36163E44"/>
    <w:lvl w:ilvl="0" w:tplc="95541C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7024E0A"/>
    <w:multiLevelType w:val="hybridMultilevel"/>
    <w:tmpl w:val="18945CE6"/>
    <w:lvl w:ilvl="0" w:tplc="E2820FB4">
      <w:start w:val="7"/>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91145D2"/>
    <w:multiLevelType w:val="hybridMultilevel"/>
    <w:tmpl w:val="DADCDD32"/>
    <w:lvl w:ilvl="0" w:tplc="59847032">
      <w:start w:val="1"/>
      <w:numFmt w:val="decimal"/>
      <w:lvlText w:val="%1."/>
      <w:lvlJc w:val="left"/>
      <w:pPr>
        <w:ind w:left="1429" w:hanging="360"/>
      </w:pPr>
      <w:rPr>
        <w:b w:val="0"/>
      </w:rPr>
    </w:lvl>
    <w:lvl w:ilvl="1" w:tplc="FFFFFFFF">
      <w:start w:val="1"/>
      <w:numFmt w:val="decimal"/>
      <w:lvlText w:val="2.%2."/>
      <w:lvlJc w:val="left"/>
      <w:pPr>
        <w:ind w:left="2204" w:hanging="360"/>
      </w:pPr>
      <w:rPr>
        <w:rFonts w:hint="default"/>
        <w:i w:val="0"/>
      </w:rPr>
    </w:lvl>
    <w:lvl w:ilvl="2" w:tplc="43CC45E4">
      <w:start w:val="1"/>
      <w:numFmt w:val="lowerLetter"/>
      <w:lvlText w:val="%3."/>
      <w:lvlJc w:val="left"/>
      <w:pPr>
        <w:ind w:left="3049" w:hanging="360"/>
      </w:pPr>
      <w:rPr>
        <w:rFonts w:hint="default"/>
      </w:r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3">
    <w:nsid w:val="7A19621D"/>
    <w:multiLevelType w:val="multilevel"/>
    <w:tmpl w:val="B8EA7AD8"/>
    <w:lvl w:ilvl="0">
      <w:start w:val="31"/>
      <w:numFmt w:val="decimal"/>
      <w:lvlText w:val="%1"/>
      <w:lvlJc w:val="left"/>
      <w:pPr>
        <w:tabs>
          <w:tab w:val="num" w:pos="450"/>
        </w:tabs>
        <w:ind w:left="450" w:hanging="450"/>
      </w:pPr>
      <w:rPr>
        <w:rFonts w:hint="default"/>
      </w:rPr>
    </w:lvl>
    <w:lvl w:ilvl="1">
      <w:start w:val="1"/>
      <w:numFmt w:val="decimal"/>
      <w:lvlText w:val="3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EB94A89"/>
    <w:multiLevelType w:val="hybridMultilevel"/>
    <w:tmpl w:val="F44CA6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19"/>
  </w:num>
  <w:num w:numId="3">
    <w:abstractNumId w:val="7"/>
  </w:num>
  <w:num w:numId="4">
    <w:abstractNumId w:val="0"/>
  </w:num>
  <w:num w:numId="5">
    <w:abstractNumId w:val="15"/>
  </w:num>
  <w:num w:numId="6">
    <w:abstractNumId w:val="3"/>
  </w:num>
  <w:num w:numId="7">
    <w:abstractNumId w:val="5"/>
  </w:num>
  <w:num w:numId="8">
    <w:abstractNumId w:val="13"/>
  </w:num>
  <w:num w:numId="9">
    <w:abstractNumId w:val="10"/>
  </w:num>
  <w:num w:numId="10">
    <w:abstractNumId w:val="18"/>
  </w:num>
  <w:num w:numId="11">
    <w:abstractNumId w:val="29"/>
  </w:num>
  <w:num w:numId="12">
    <w:abstractNumId w:val="1"/>
  </w:num>
  <w:num w:numId="13">
    <w:abstractNumId w:val="9"/>
  </w:num>
  <w:num w:numId="14">
    <w:abstractNumId w:val="2"/>
  </w:num>
  <w:num w:numId="15">
    <w:abstractNumId w:val="17"/>
    <w:lvlOverride w:ilvl="0">
      <w:startOverride w:val="1"/>
    </w:lvlOverride>
  </w:num>
  <w:num w:numId="16">
    <w:abstractNumId w:val="23"/>
  </w:num>
  <w:num w:numId="17">
    <w:abstractNumId w:val="24"/>
  </w:num>
  <w:num w:numId="18">
    <w:abstractNumId w:val="22"/>
  </w:num>
  <w:num w:numId="19">
    <w:abstractNumId w:val="8"/>
  </w:num>
  <w:num w:numId="20">
    <w:abstractNumId w:val="6"/>
  </w:num>
  <w:num w:numId="21">
    <w:abstractNumId w:val="17"/>
  </w:num>
  <w:num w:numId="22">
    <w:abstractNumId w:val="31"/>
  </w:num>
  <w:num w:numId="23">
    <w:abstractNumId w:val="27"/>
  </w:num>
  <w:num w:numId="24">
    <w:abstractNumId w:val="26"/>
  </w:num>
  <w:num w:numId="25">
    <w:abstractNumId w:val="21"/>
  </w:num>
  <w:num w:numId="26">
    <w:abstractNumId w:val="28"/>
  </w:num>
  <w:num w:numId="27">
    <w:abstractNumId w:val="32"/>
  </w:num>
  <w:num w:numId="28">
    <w:abstractNumId w:val="4"/>
  </w:num>
  <w:num w:numId="29">
    <w:abstractNumId w:val="30"/>
  </w:num>
  <w:num w:numId="30">
    <w:abstractNumId w:val="25"/>
  </w:num>
  <w:num w:numId="31">
    <w:abstractNumId w:val="16"/>
  </w:num>
  <w:num w:numId="32">
    <w:abstractNumId w:val="12"/>
  </w:num>
  <w:num w:numId="33">
    <w:abstractNumId w:val="14"/>
  </w:num>
  <w:num w:numId="34">
    <w:abstractNumId w:val="11"/>
  </w:num>
  <w:num w:numId="35">
    <w:abstractNumId w:val="3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C4E"/>
    <w:rsid w:val="0000347D"/>
    <w:rsid w:val="00063B20"/>
    <w:rsid w:val="00072975"/>
    <w:rsid w:val="00075DEE"/>
    <w:rsid w:val="000C505A"/>
    <w:rsid w:val="000C777F"/>
    <w:rsid w:val="000D17B5"/>
    <w:rsid w:val="000D1AF0"/>
    <w:rsid w:val="000E746A"/>
    <w:rsid w:val="00146C4E"/>
    <w:rsid w:val="0015157F"/>
    <w:rsid w:val="00195439"/>
    <w:rsid w:val="001C2EE1"/>
    <w:rsid w:val="001C796A"/>
    <w:rsid w:val="001D6CB0"/>
    <w:rsid w:val="001E0B83"/>
    <w:rsid w:val="00224A72"/>
    <w:rsid w:val="002343C3"/>
    <w:rsid w:val="00245703"/>
    <w:rsid w:val="00247402"/>
    <w:rsid w:val="00247FDB"/>
    <w:rsid w:val="002C4088"/>
    <w:rsid w:val="002D2D2F"/>
    <w:rsid w:val="00320CE8"/>
    <w:rsid w:val="00323120"/>
    <w:rsid w:val="00326B74"/>
    <w:rsid w:val="00332DC3"/>
    <w:rsid w:val="003424F2"/>
    <w:rsid w:val="00345F10"/>
    <w:rsid w:val="00360D88"/>
    <w:rsid w:val="003613B5"/>
    <w:rsid w:val="003753C9"/>
    <w:rsid w:val="003835EE"/>
    <w:rsid w:val="003870C0"/>
    <w:rsid w:val="003D21D7"/>
    <w:rsid w:val="00400863"/>
    <w:rsid w:val="00417712"/>
    <w:rsid w:val="00424915"/>
    <w:rsid w:val="00435438"/>
    <w:rsid w:val="00452D03"/>
    <w:rsid w:val="004534E9"/>
    <w:rsid w:val="004B3F64"/>
    <w:rsid w:val="004E2AF2"/>
    <w:rsid w:val="004E5B4A"/>
    <w:rsid w:val="00536FBE"/>
    <w:rsid w:val="005655AF"/>
    <w:rsid w:val="005F1F56"/>
    <w:rsid w:val="0060256C"/>
    <w:rsid w:val="00605219"/>
    <w:rsid w:val="00650AC9"/>
    <w:rsid w:val="0066064F"/>
    <w:rsid w:val="00662ADD"/>
    <w:rsid w:val="00667714"/>
    <w:rsid w:val="00676647"/>
    <w:rsid w:val="006845D6"/>
    <w:rsid w:val="006D03C7"/>
    <w:rsid w:val="006D2086"/>
    <w:rsid w:val="006E4766"/>
    <w:rsid w:val="00707854"/>
    <w:rsid w:val="00711A9A"/>
    <w:rsid w:val="007141EA"/>
    <w:rsid w:val="00721873"/>
    <w:rsid w:val="007408F3"/>
    <w:rsid w:val="00771A29"/>
    <w:rsid w:val="00773E1C"/>
    <w:rsid w:val="00793AB5"/>
    <w:rsid w:val="00793AD9"/>
    <w:rsid w:val="007A624B"/>
    <w:rsid w:val="007C1270"/>
    <w:rsid w:val="007F2F18"/>
    <w:rsid w:val="00806783"/>
    <w:rsid w:val="00840045"/>
    <w:rsid w:val="008D072B"/>
    <w:rsid w:val="008D128B"/>
    <w:rsid w:val="008E3C90"/>
    <w:rsid w:val="008F10CE"/>
    <w:rsid w:val="008F4119"/>
    <w:rsid w:val="009012BC"/>
    <w:rsid w:val="0091751D"/>
    <w:rsid w:val="00923530"/>
    <w:rsid w:val="00926FB1"/>
    <w:rsid w:val="009757AE"/>
    <w:rsid w:val="00986AEA"/>
    <w:rsid w:val="009B0F9A"/>
    <w:rsid w:val="009B1DD2"/>
    <w:rsid w:val="009D415E"/>
    <w:rsid w:val="009E1DFF"/>
    <w:rsid w:val="009F1D31"/>
    <w:rsid w:val="00A0688F"/>
    <w:rsid w:val="00A20FE3"/>
    <w:rsid w:val="00A3278B"/>
    <w:rsid w:val="00A554EC"/>
    <w:rsid w:val="00A6358C"/>
    <w:rsid w:val="00A71634"/>
    <w:rsid w:val="00A736F9"/>
    <w:rsid w:val="00A85E12"/>
    <w:rsid w:val="00A87F9B"/>
    <w:rsid w:val="00A91297"/>
    <w:rsid w:val="00A94EB0"/>
    <w:rsid w:val="00AC61F9"/>
    <w:rsid w:val="00AD0C25"/>
    <w:rsid w:val="00AD4958"/>
    <w:rsid w:val="00AE1BDA"/>
    <w:rsid w:val="00AE4327"/>
    <w:rsid w:val="00AE683D"/>
    <w:rsid w:val="00AF099E"/>
    <w:rsid w:val="00B216A1"/>
    <w:rsid w:val="00B26DF4"/>
    <w:rsid w:val="00B3573F"/>
    <w:rsid w:val="00B3678A"/>
    <w:rsid w:val="00B567C1"/>
    <w:rsid w:val="00B656DA"/>
    <w:rsid w:val="00B74A7C"/>
    <w:rsid w:val="00BA724E"/>
    <w:rsid w:val="00BB02E4"/>
    <w:rsid w:val="00BF44E0"/>
    <w:rsid w:val="00C11DD8"/>
    <w:rsid w:val="00C32CBE"/>
    <w:rsid w:val="00C43DDC"/>
    <w:rsid w:val="00C4400B"/>
    <w:rsid w:val="00C46913"/>
    <w:rsid w:val="00C54F6B"/>
    <w:rsid w:val="00C655DF"/>
    <w:rsid w:val="00C80807"/>
    <w:rsid w:val="00C82031"/>
    <w:rsid w:val="00C84EA7"/>
    <w:rsid w:val="00C85094"/>
    <w:rsid w:val="00C850BF"/>
    <w:rsid w:val="00C85875"/>
    <w:rsid w:val="00C9115A"/>
    <w:rsid w:val="00C93E5C"/>
    <w:rsid w:val="00C95BE5"/>
    <w:rsid w:val="00CA050E"/>
    <w:rsid w:val="00CD5BB0"/>
    <w:rsid w:val="00CE2FC0"/>
    <w:rsid w:val="00D04EBF"/>
    <w:rsid w:val="00D24617"/>
    <w:rsid w:val="00D27AD9"/>
    <w:rsid w:val="00D365A1"/>
    <w:rsid w:val="00D5526B"/>
    <w:rsid w:val="00D81185"/>
    <w:rsid w:val="00DA4B29"/>
    <w:rsid w:val="00DC49A0"/>
    <w:rsid w:val="00DF1517"/>
    <w:rsid w:val="00E15A0D"/>
    <w:rsid w:val="00E3549D"/>
    <w:rsid w:val="00E55D98"/>
    <w:rsid w:val="00E77A5D"/>
    <w:rsid w:val="00E94842"/>
    <w:rsid w:val="00EA03AE"/>
    <w:rsid w:val="00F061D4"/>
    <w:rsid w:val="00F11275"/>
    <w:rsid w:val="00F13477"/>
    <w:rsid w:val="00F227A2"/>
    <w:rsid w:val="00F34A6D"/>
    <w:rsid w:val="00F424A4"/>
    <w:rsid w:val="00F432E3"/>
    <w:rsid w:val="00F76032"/>
    <w:rsid w:val="00FB4AB3"/>
    <w:rsid w:val="00FC31A6"/>
    <w:rsid w:val="00FD1A2E"/>
    <w:rsid w:val="00FD6586"/>
    <w:rsid w:val="00FE024B"/>
    <w:rsid w:val="00FF3A0F"/>
    <w:rsid w:val="00FF5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B5"/>
    <w:rPr>
      <w:sz w:val="24"/>
      <w:szCs w:val="24"/>
      <w:lang w:eastAsia="zh-CN"/>
    </w:rPr>
  </w:style>
  <w:style w:type="paragraph" w:styleId="Heading1">
    <w:name w:val="heading 1"/>
    <w:basedOn w:val="Normal"/>
    <w:next w:val="Normal"/>
    <w:qFormat/>
    <w:rsid w:val="001C796A"/>
    <w:pPr>
      <w:keepNext/>
      <w:widowControl w:val="0"/>
      <w:adjustRightInd w:val="0"/>
      <w:spacing w:line="360" w:lineRule="auto"/>
      <w:jc w:val="center"/>
      <w:textAlignment w:val="baseline"/>
      <w:outlineLvl w:val="0"/>
    </w:pPr>
    <w:rPr>
      <w:rFonts w:ascii=".VnTimeH" w:eastAsia="Times New Roman" w:hAnsi=".VnTimeH"/>
      <w:b/>
      <w:bCs/>
      <w:sz w:val="32"/>
      <w:lang w:eastAsia="en-US"/>
    </w:rPr>
  </w:style>
  <w:style w:type="paragraph" w:styleId="Heading3">
    <w:name w:val="heading 3"/>
    <w:basedOn w:val="Normal"/>
    <w:next w:val="Normal"/>
    <w:link w:val="Heading3Char"/>
    <w:unhideWhenUsed/>
    <w:qFormat/>
    <w:rsid w:val="000C50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4119"/>
    <w:pPr>
      <w:widowControl w:val="0"/>
      <w:adjustRightInd w:val="0"/>
      <w:spacing w:line="360" w:lineRule="auto"/>
      <w:jc w:val="both"/>
      <w:textAlignment w:val="baseline"/>
    </w:pPr>
    <w:rPr>
      <w:rFonts w:ascii=".VnTime" w:eastAsia="Times New Roman" w:hAnsi=".VnTime"/>
      <w:sz w:val="28"/>
      <w:lang w:eastAsia="en-US"/>
    </w:rPr>
  </w:style>
  <w:style w:type="paragraph" w:styleId="NormalWeb">
    <w:name w:val="Normal (Web)"/>
    <w:basedOn w:val="Normal"/>
    <w:rsid w:val="008F4119"/>
    <w:pPr>
      <w:spacing w:before="100" w:beforeAutospacing="1" w:after="100" w:afterAutospacing="1"/>
    </w:pPr>
    <w:rPr>
      <w:sz w:val="29"/>
      <w:szCs w:val="29"/>
    </w:rPr>
  </w:style>
  <w:style w:type="paragraph" w:styleId="Header">
    <w:name w:val="header"/>
    <w:basedOn w:val="Normal"/>
    <w:link w:val="HeaderChar"/>
    <w:uiPriority w:val="99"/>
    <w:unhideWhenUsed/>
    <w:rsid w:val="00BB02E4"/>
    <w:pPr>
      <w:tabs>
        <w:tab w:val="center" w:pos="4680"/>
        <w:tab w:val="right" w:pos="9360"/>
      </w:tabs>
    </w:pPr>
  </w:style>
  <w:style w:type="character" w:customStyle="1" w:styleId="HeaderChar">
    <w:name w:val="Header Char"/>
    <w:link w:val="Header"/>
    <w:uiPriority w:val="99"/>
    <w:rsid w:val="00BB02E4"/>
    <w:rPr>
      <w:sz w:val="24"/>
      <w:szCs w:val="24"/>
      <w:lang w:eastAsia="zh-CN"/>
    </w:rPr>
  </w:style>
  <w:style w:type="paragraph" w:styleId="Footer">
    <w:name w:val="footer"/>
    <w:basedOn w:val="Normal"/>
    <w:link w:val="FooterChar"/>
    <w:uiPriority w:val="99"/>
    <w:unhideWhenUsed/>
    <w:rsid w:val="00BB02E4"/>
    <w:pPr>
      <w:tabs>
        <w:tab w:val="center" w:pos="4680"/>
        <w:tab w:val="right" w:pos="9360"/>
      </w:tabs>
    </w:pPr>
  </w:style>
  <w:style w:type="character" w:customStyle="1" w:styleId="FooterChar">
    <w:name w:val="Footer Char"/>
    <w:link w:val="Footer"/>
    <w:uiPriority w:val="99"/>
    <w:rsid w:val="00BB02E4"/>
    <w:rPr>
      <w:sz w:val="24"/>
      <w:szCs w:val="24"/>
      <w:lang w:eastAsia="zh-CN"/>
    </w:rPr>
  </w:style>
  <w:style w:type="table" w:styleId="TableGrid">
    <w:name w:val="Table Grid"/>
    <w:basedOn w:val="TableNormal"/>
    <w:rsid w:val="00C43DDC"/>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C505A"/>
    <w:rPr>
      <w:rFonts w:asciiTheme="majorHAnsi" w:eastAsiaTheme="majorEastAsia" w:hAnsiTheme="majorHAnsi" w:cstheme="majorBidi"/>
      <w:b/>
      <w:bCs/>
      <w:color w:val="4F81BD" w:themeColor="accent1"/>
      <w:sz w:val="24"/>
      <w:szCs w:val="24"/>
      <w:lang w:eastAsia="zh-CN"/>
    </w:rPr>
  </w:style>
  <w:style w:type="paragraph" w:styleId="ListParagraph">
    <w:name w:val="List Paragraph"/>
    <w:basedOn w:val="Normal"/>
    <w:uiPriority w:val="34"/>
    <w:qFormat/>
    <w:rsid w:val="000C505A"/>
    <w:pPr>
      <w:ind w:left="720"/>
      <w:contextualSpacing/>
    </w:pPr>
  </w:style>
  <w:style w:type="paragraph" w:customStyle="1" w:styleId="1">
    <w:name w:val="1....."/>
    <w:basedOn w:val="Normal"/>
    <w:qFormat/>
    <w:rsid w:val="000C505A"/>
    <w:pPr>
      <w:spacing w:before="120" w:after="120" w:line="288" w:lineRule="auto"/>
      <w:jc w:val="both"/>
    </w:pPr>
    <w:rPr>
      <w:rFonts w:eastAsia="Times New Roman"/>
      <w:color w:val="000000"/>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7B5"/>
    <w:rPr>
      <w:sz w:val="24"/>
      <w:szCs w:val="24"/>
      <w:lang w:eastAsia="zh-CN"/>
    </w:rPr>
  </w:style>
  <w:style w:type="paragraph" w:styleId="Heading1">
    <w:name w:val="heading 1"/>
    <w:basedOn w:val="Normal"/>
    <w:next w:val="Normal"/>
    <w:qFormat/>
    <w:rsid w:val="001C796A"/>
    <w:pPr>
      <w:keepNext/>
      <w:widowControl w:val="0"/>
      <w:adjustRightInd w:val="0"/>
      <w:spacing w:line="360" w:lineRule="auto"/>
      <w:jc w:val="center"/>
      <w:textAlignment w:val="baseline"/>
      <w:outlineLvl w:val="0"/>
    </w:pPr>
    <w:rPr>
      <w:rFonts w:ascii=".VnTimeH" w:eastAsia="Times New Roman" w:hAnsi=".VnTimeH"/>
      <w:b/>
      <w:bCs/>
      <w:sz w:val="32"/>
      <w:lang w:eastAsia="en-US"/>
    </w:rPr>
  </w:style>
  <w:style w:type="paragraph" w:styleId="Heading3">
    <w:name w:val="heading 3"/>
    <w:basedOn w:val="Normal"/>
    <w:next w:val="Normal"/>
    <w:link w:val="Heading3Char"/>
    <w:unhideWhenUsed/>
    <w:qFormat/>
    <w:rsid w:val="000C505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F4119"/>
    <w:pPr>
      <w:widowControl w:val="0"/>
      <w:adjustRightInd w:val="0"/>
      <w:spacing w:line="360" w:lineRule="auto"/>
      <w:jc w:val="both"/>
      <w:textAlignment w:val="baseline"/>
    </w:pPr>
    <w:rPr>
      <w:rFonts w:ascii=".VnTime" w:eastAsia="Times New Roman" w:hAnsi=".VnTime"/>
      <w:sz w:val="28"/>
      <w:lang w:eastAsia="en-US"/>
    </w:rPr>
  </w:style>
  <w:style w:type="paragraph" w:styleId="NormalWeb">
    <w:name w:val="Normal (Web)"/>
    <w:basedOn w:val="Normal"/>
    <w:rsid w:val="008F4119"/>
    <w:pPr>
      <w:spacing w:before="100" w:beforeAutospacing="1" w:after="100" w:afterAutospacing="1"/>
    </w:pPr>
    <w:rPr>
      <w:sz w:val="29"/>
      <w:szCs w:val="29"/>
    </w:rPr>
  </w:style>
  <w:style w:type="paragraph" w:styleId="Header">
    <w:name w:val="header"/>
    <w:basedOn w:val="Normal"/>
    <w:link w:val="HeaderChar"/>
    <w:uiPriority w:val="99"/>
    <w:unhideWhenUsed/>
    <w:rsid w:val="00BB02E4"/>
    <w:pPr>
      <w:tabs>
        <w:tab w:val="center" w:pos="4680"/>
        <w:tab w:val="right" w:pos="9360"/>
      </w:tabs>
    </w:pPr>
  </w:style>
  <w:style w:type="character" w:customStyle="1" w:styleId="HeaderChar">
    <w:name w:val="Header Char"/>
    <w:link w:val="Header"/>
    <w:uiPriority w:val="99"/>
    <w:rsid w:val="00BB02E4"/>
    <w:rPr>
      <w:sz w:val="24"/>
      <w:szCs w:val="24"/>
      <w:lang w:eastAsia="zh-CN"/>
    </w:rPr>
  </w:style>
  <w:style w:type="paragraph" w:styleId="Footer">
    <w:name w:val="footer"/>
    <w:basedOn w:val="Normal"/>
    <w:link w:val="FooterChar"/>
    <w:uiPriority w:val="99"/>
    <w:unhideWhenUsed/>
    <w:rsid w:val="00BB02E4"/>
    <w:pPr>
      <w:tabs>
        <w:tab w:val="center" w:pos="4680"/>
        <w:tab w:val="right" w:pos="9360"/>
      </w:tabs>
    </w:pPr>
  </w:style>
  <w:style w:type="character" w:customStyle="1" w:styleId="FooterChar">
    <w:name w:val="Footer Char"/>
    <w:link w:val="Footer"/>
    <w:uiPriority w:val="99"/>
    <w:rsid w:val="00BB02E4"/>
    <w:rPr>
      <w:sz w:val="24"/>
      <w:szCs w:val="24"/>
      <w:lang w:eastAsia="zh-CN"/>
    </w:rPr>
  </w:style>
  <w:style w:type="table" w:styleId="TableGrid">
    <w:name w:val="Table Grid"/>
    <w:basedOn w:val="TableNormal"/>
    <w:rsid w:val="00C43DDC"/>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0C505A"/>
    <w:rPr>
      <w:rFonts w:asciiTheme="majorHAnsi" w:eastAsiaTheme="majorEastAsia" w:hAnsiTheme="majorHAnsi" w:cstheme="majorBidi"/>
      <w:b/>
      <w:bCs/>
      <w:color w:val="4F81BD" w:themeColor="accent1"/>
      <w:sz w:val="24"/>
      <w:szCs w:val="24"/>
      <w:lang w:eastAsia="zh-CN"/>
    </w:rPr>
  </w:style>
  <w:style w:type="paragraph" w:styleId="ListParagraph">
    <w:name w:val="List Paragraph"/>
    <w:basedOn w:val="Normal"/>
    <w:uiPriority w:val="34"/>
    <w:qFormat/>
    <w:rsid w:val="000C505A"/>
    <w:pPr>
      <w:ind w:left="720"/>
      <w:contextualSpacing/>
    </w:pPr>
  </w:style>
  <w:style w:type="paragraph" w:customStyle="1" w:styleId="1">
    <w:name w:val="1....."/>
    <w:basedOn w:val="Normal"/>
    <w:qFormat/>
    <w:rsid w:val="000C505A"/>
    <w:pPr>
      <w:spacing w:before="120" w:after="120" w:line="288" w:lineRule="auto"/>
      <w:jc w:val="both"/>
    </w:pPr>
    <w:rPr>
      <w:rFonts w:eastAsia="Times New Roman"/>
      <w:color w:val="00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1691">
      <w:bodyDiv w:val="1"/>
      <w:marLeft w:val="0"/>
      <w:marRight w:val="0"/>
      <w:marTop w:val="0"/>
      <w:marBottom w:val="0"/>
      <w:divBdr>
        <w:top w:val="none" w:sz="0" w:space="0" w:color="auto"/>
        <w:left w:val="none" w:sz="0" w:space="0" w:color="auto"/>
        <w:bottom w:val="none" w:sz="0" w:space="0" w:color="auto"/>
        <w:right w:val="none" w:sz="0" w:space="0" w:color="auto"/>
      </w:divBdr>
    </w:div>
    <w:div w:id="148984542">
      <w:bodyDiv w:val="1"/>
      <w:marLeft w:val="0"/>
      <w:marRight w:val="0"/>
      <w:marTop w:val="0"/>
      <w:marBottom w:val="0"/>
      <w:divBdr>
        <w:top w:val="none" w:sz="0" w:space="0" w:color="auto"/>
        <w:left w:val="none" w:sz="0" w:space="0" w:color="auto"/>
        <w:bottom w:val="none" w:sz="0" w:space="0" w:color="auto"/>
        <w:right w:val="none" w:sz="0" w:space="0" w:color="auto"/>
      </w:divBdr>
    </w:div>
    <w:div w:id="277757439">
      <w:bodyDiv w:val="1"/>
      <w:marLeft w:val="0"/>
      <w:marRight w:val="0"/>
      <w:marTop w:val="0"/>
      <w:marBottom w:val="0"/>
      <w:divBdr>
        <w:top w:val="none" w:sz="0" w:space="0" w:color="auto"/>
        <w:left w:val="none" w:sz="0" w:space="0" w:color="auto"/>
        <w:bottom w:val="none" w:sz="0" w:space="0" w:color="auto"/>
        <w:right w:val="none" w:sz="0" w:space="0" w:color="auto"/>
      </w:divBdr>
    </w:div>
    <w:div w:id="436800626">
      <w:bodyDiv w:val="1"/>
      <w:marLeft w:val="0"/>
      <w:marRight w:val="0"/>
      <w:marTop w:val="0"/>
      <w:marBottom w:val="0"/>
      <w:divBdr>
        <w:top w:val="none" w:sz="0" w:space="0" w:color="auto"/>
        <w:left w:val="none" w:sz="0" w:space="0" w:color="auto"/>
        <w:bottom w:val="none" w:sz="0" w:space="0" w:color="auto"/>
        <w:right w:val="none" w:sz="0" w:space="0" w:color="auto"/>
      </w:divBdr>
    </w:div>
    <w:div w:id="492767088">
      <w:bodyDiv w:val="1"/>
      <w:marLeft w:val="0"/>
      <w:marRight w:val="0"/>
      <w:marTop w:val="0"/>
      <w:marBottom w:val="0"/>
      <w:divBdr>
        <w:top w:val="none" w:sz="0" w:space="0" w:color="auto"/>
        <w:left w:val="none" w:sz="0" w:space="0" w:color="auto"/>
        <w:bottom w:val="none" w:sz="0" w:space="0" w:color="auto"/>
        <w:right w:val="none" w:sz="0" w:space="0" w:color="auto"/>
      </w:divBdr>
    </w:div>
    <w:div w:id="518543118">
      <w:bodyDiv w:val="1"/>
      <w:marLeft w:val="0"/>
      <w:marRight w:val="0"/>
      <w:marTop w:val="0"/>
      <w:marBottom w:val="0"/>
      <w:divBdr>
        <w:top w:val="none" w:sz="0" w:space="0" w:color="auto"/>
        <w:left w:val="none" w:sz="0" w:space="0" w:color="auto"/>
        <w:bottom w:val="none" w:sz="0" w:space="0" w:color="auto"/>
        <w:right w:val="none" w:sz="0" w:space="0" w:color="auto"/>
      </w:divBdr>
    </w:div>
    <w:div w:id="527572936">
      <w:bodyDiv w:val="1"/>
      <w:marLeft w:val="0"/>
      <w:marRight w:val="0"/>
      <w:marTop w:val="0"/>
      <w:marBottom w:val="0"/>
      <w:divBdr>
        <w:top w:val="none" w:sz="0" w:space="0" w:color="auto"/>
        <w:left w:val="none" w:sz="0" w:space="0" w:color="auto"/>
        <w:bottom w:val="none" w:sz="0" w:space="0" w:color="auto"/>
        <w:right w:val="none" w:sz="0" w:space="0" w:color="auto"/>
      </w:divBdr>
    </w:div>
    <w:div w:id="717244181">
      <w:bodyDiv w:val="1"/>
      <w:marLeft w:val="0"/>
      <w:marRight w:val="0"/>
      <w:marTop w:val="0"/>
      <w:marBottom w:val="0"/>
      <w:divBdr>
        <w:top w:val="none" w:sz="0" w:space="0" w:color="auto"/>
        <w:left w:val="none" w:sz="0" w:space="0" w:color="auto"/>
        <w:bottom w:val="none" w:sz="0" w:space="0" w:color="auto"/>
        <w:right w:val="none" w:sz="0" w:space="0" w:color="auto"/>
      </w:divBdr>
    </w:div>
    <w:div w:id="766002166">
      <w:bodyDiv w:val="1"/>
      <w:marLeft w:val="0"/>
      <w:marRight w:val="0"/>
      <w:marTop w:val="0"/>
      <w:marBottom w:val="0"/>
      <w:divBdr>
        <w:top w:val="none" w:sz="0" w:space="0" w:color="auto"/>
        <w:left w:val="none" w:sz="0" w:space="0" w:color="auto"/>
        <w:bottom w:val="none" w:sz="0" w:space="0" w:color="auto"/>
        <w:right w:val="none" w:sz="0" w:space="0" w:color="auto"/>
      </w:divBdr>
    </w:div>
    <w:div w:id="1002121358">
      <w:bodyDiv w:val="1"/>
      <w:marLeft w:val="0"/>
      <w:marRight w:val="0"/>
      <w:marTop w:val="0"/>
      <w:marBottom w:val="0"/>
      <w:divBdr>
        <w:top w:val="none" w:sz="0" w:space="0" w:color="auto"/>
        <w:left w:val="none" w:sz="0" w:space="0" w:color="auto"/>
        <w:bottom w:val="none" w:sz="0" w:space="0" w:color="auto"/>
        <w:right w:val="none" w:sz="0" w:space="0" w:color="auto"/>
      </w:divBdr>
    </w:div>
    <w:div w:id="1017537008">
      <w:bodyDiv w:val="1"/>
      <w:marLeft w:val="0"/>
      <w:marRight w:val="0"/>
      <w:marTop w:val="0"/>
      <w:marBottom w:val="0"/>
      <w:divBdr>
        <w:top w:val="none" w:sz="0" w:space="0" w:color="auto"/>
        <w:left w:val="none" w:sz="0" w:space="0" w:color="auto"/>
        <w:bottom w:val="none" w:sz="0" w:space="0" w:color="auto"/>
        <w:right w:val="none" w:sz="0" w:space="0" w:color="auto"/>
      </w:divBdr>
    </w:div>
    <w:div w:id="1046679185">
      <w:bodyDiv w:val="1"/>
      <w:marLeft w:val="0"/>
      <w:marRight w:val="0"/>
      <w:marTop w:val="0"/>
      <w:marBottom w:val="0"/>
      <w:divBdr>
        <w:top w:val="none" w:sz="0" w:space="0" w:color="auto"/>
        <w:left w:val="none" w:sz="0" w:space="0" w:color="auto"/>
        <w:bottom w:val="none" w:sz="0" w:space="0" w:color="auto"/>
        <w:right w:val="none" w:sz="0" w:space="0" w:color="auto"/>
      </w:divBdr>
    </w:div>
    <w:div w:id="1295988697">
      <w:bodyDiv w:val="1"/>
      <w:marLeft w:val="0"/>
      <w:marRight w:val="0"/>
      <w:marTop w:val="0"/>
      <w:marBottom w:val="0"/>
      <w:divBdr>
        <w:top w:val="none" w:sz="0" w:space="0" w:color="auto"/>
        <w:left w:val="none" w:sz="0" w:space="0" w:color="auto"/>
        <w:bottom w:val="none" w:sz="0" w:space="0" w:color="auto"/>
        <w:right w:val="none" w:sz="0" w:space="0" w:color="auto"/>
      </w:divBdr>
    </w:div>
    <w:div w:id="1339231823">
      <w:bodyDiv w:val="1"/>
      <w:marLeft w:val="0"/>
      <w:marRight w:val="0"/>
      <w:marTop w:val="0"/>
      <w:marBottom w:val="0"/>
      <w:divBdr>
        <w:top w:val="none" w:sz="0" w:space="0" w:color="auto"/>
        <w:left w:val="none" w:sz="0" w:space="0" w:color="auto"/>
        <w:bottom w:val="none" w:sz="0" w:space="0" w:color="auto"/>
        <w:right w:val="none" w:sz="0" w:space="0" w:color="auto"/>
      </w:divBdr>
    </w:div>
    <w:div w:id="1489982048">
      <w:bodyDiv w:val="1"/>
      <w:marLeft w:val="0"/>
      <w:marRight w:val="0"/>
      <w:marTop w:val="0"/>
      <w:marBottom w:val="0"/>
      <w:divBdr>
        <w:top w:val="none" w:sz="0" w:space="0" w:color="auto"/>
        <w:left w:val="none" w:sz="0" w:space="0" w:color="auto"/>
        <w:bottom w:val="none" w:sz="0" w:space="0" w:color="auto"/>
        <w:right w:val="none" w:sz="0" w:space="0" w:color="auto"/>
      </w:divBdr>
    </w:div>
    <w:div w:id="1615017734">
      <w:bodyDiv w:val="1"/>
      <w:marLeft w:val="0"/>
      <w:marRight w:val="0"/>
      <w:marTop w:val="0"/>
      <w:marBottom w:val="0"/>
      <w:divBdr>
        <w:top w:val="none" w:sz="0" w:space="0" w:color="auto"/>
        <w:left w:val="none" w:sz="0" w:space="0" w:color="auto"/>
        <w:bottom w:val="none" w:sz="0" w:space="0" w:color="auto"/>
        <w:right w:val="none" w:sz="0" w:space="0" w:color="auto"/>
      </w:divBdr>
    </w:div>
    <w:div w:id="1725834632">
      <w:bodyDiv w:val="1"/>
      <w:marLeft w:val="0"/>
      <w:marRight w:val="0"/>
      <w:marTop w:val="0"/>
      <w:marBottom w:val="0"/>
      <w:divBdr>
        <w:top w:val="none" w:sz="0" w:space="0" w:color="auto"/>
        <w:left w:val="none" w:sz="0" w:space="0" w:color="auto"/>
        <w:bottom w:val="none" w:sz="0" w:space="0" w:color="auto"/>
        <w:right w:val="none" w:sz="0" w:space="0" w:color="auto"/>
      </w:divBdr>
    </w:div>
    <w:div w:id="1754085658">
      <w:bodyDiv w:val="1"/>
      <w:marLeft w:val="0"/>
      <w:marRight w:val="0"/>
      <w:marTop w:val="0"/>
      <w:marBottom w:val="0"/>
      <w:divBdr>
        <w:top w:val="none" w:sz="0" w:space="0" w:color="auto"/>
        <w:left w:val="none" w:sz="0" w:space="0" w:color="auto"/>
        <w:bottom w:val="none" w:sz="0" w:space="0" w:color="auto"/>
        <w:right w:val="none" w:sz="0" w:space="0" w:color="auto"/>
      </w:divBdr>
    </w:div>
    <w:div w:id="197894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F74D2-D915-4D9C-9802-AA1C7589F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2482</Words>
  <Characters>8746</Characters>
  <Application>Microsoft Office Word</Application>
  <DocSecurity>4</DocSecurity>
  <Lines>72</Lines>
  <Paragraphs>22</Paragraphs>
  <ScaleCrop>false</ScaleCrop>
  <HeadingPairs>
    <vt:vector size="2" baseType="variant">
      <vt:variant>
        <vt:lpstr>Title</vt:lpstr>
      </vt:variant>
      <vt:variant>
        <vt:i4>1</vt:i4>
      </vt:variant>
    </vt:vector>
  </HeadingPairs>
  <TitlesOfParts>
    <vt:vector size="1" baseType="lpstr">
      <vt:lpstr>Tài liệu đính kèm Thông báo số</vt:lpstr>
    </vt:vector>
  </TitlesOfParts>
  <Company>Ten Cong Ty</Company>
  <LinksUpToDate>false</LinksUpToDate>
  <CharactersWithSpaces>11206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Tài liệu đính kèm Thông báo số</dc:title>
  <dc:creator>namnt</dc:creator>
  <cp:lastModifiedBy>Nguyen Thi Thu Phuong</cp:lastModifiedBy>
  <cp:revision>2</cp:revision>
  <cp:lastPrinted>2017-05-09T02:49:00Z</cp:lastPrinted>
  <dcterms:created xsi:type="dcterms:W3CDTF">2017-05-09T03:29:00Z</dcterms:created>
  <dcterms:modified xsi:type="dcterms:W3CDTF">2017-05-09T03:29:00Z</dcterms:modified>
</cp:coreProperties>
</file>